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E4026" w14:textId="77777777" w:rsidR="00F84608" w:rsidRDefault="00F84608">
      <w:pPr>
        <w:pStyle w:val="BodyText"/>
        <w:spacing w:before="5"/>
        <w:rPr>
          <w:rFonts w:ascii="Times New Roman"/>
          <w:sz w:val="2"/>
        </w:rPr>
      </w:pPr>
    </w:p>
    <w:tbl>
      <w:tblPr>
        <w:tblW w:w="975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8"/>
        <w:gridCol w:w="8010"/>
      </w:tblGrid>
      <w:tr w:rsidR="001E1402" w:rsidRPr="001E1402" w14:paraId="0B21D9A7" w14:textId="77777777" w:rsidTr="001E1402">
        <w:tc>
          <w:tcPr>
            <w:tcW w:w="1748" w:type="dxa"/>
          </w:tcPr>
          <w:p w14:paraId="64BFD9E1" w14:textId="77777777" w:rsidR="001E1402" w:rsidRPr="001E1402" w:rsidRDefault="001E1402" w:rsidP="005E0483">
            <w:pPr>
              <w:ind w:left="11" w:hanging="11"/>
              <w:rPr>
                <w:rFonts w:asciiTheme="minorHAnsi" w:hAnsiTheme="minorHAnsi" w:cstheme="minorHAnsi"/>
                <w:sz w:val="24"/>
                <w:szCs w:val="24"/>
              </w:rPr>
            </w:pPr>
            <w:r w:rsidRPr="001E1402">
              <w:rPr>
                <w:rFonts w:asciiTheme="minorHAnsi" w:hAnsiTheme="minorHAnsi" w:cstheme="minorHAnsi"/>
                <w:sz w:val="24"/>
                <w:szCs w:val="24"/>
              </w:rPr>
              <w:t>Purpose:</w:t>
            </w:r>
          </w:p>
        </w:tc>
        <w:tc>
          <w:tcPr>
            <w:tcW w:w="8010" w:type="dxa"/>
          </w:tcPr>
          <w:p w14:paraId="2F16720B" w14:textId="77777777" w:rsidR="009330D4" w:rsidRDefault="00000000">
            <w:pPr>
              <w:spacing w:after="60"/>
              <w:jc w:val="both"/>
            </w:pPr>
            <w:r>
              <w:rPr>
                <w:rFonts w:ascii="Calibri" w:hAnsi="Calibri"/>
                <w:sz w:val="24"/>
              </w:rPr>
              <w:t>To define how the Company determines and maintains the context of the organisation for its MS ISO 45001:2018 Occupational Health and Safety Management System. This document establishes the organisational profile, relevant internal and external issues, needs and expectations of workers and other interested parties, applicable legal and other requirements, OHSMS scope and the processes required to achieve the intended outcomes of preventing injury and ill health, providing safe and healthy workplaces and continually improving occupational health and safety performance.</w:t>
            </w:r>
          </w:p>
        </w:tc>
      </w:tr>
      <w:tr w:rsidR="001E1402" w:rsidRPr="001E1402" w14:paraId="078450FC" w14:textId="77777777" w:rsidTr="001E1402">
        <w:tc>
          <w:tcPr>
            <w:tcW w:w="1748" w:type="dxa"/>
          </w:tcPr>
          <w:p w14:paraId="2CA7A45A" w14:textId="77777777" w:rsidR="001E1402" w:rsidRPr="001E1402" w:rsidRDefault="001E1402" w:rsidP="005E0483">
            <w:pPr>
              <w:rPr>
                <w:rFonts w:asciiTheme="minorHAnsi" w:hAnsiTheme="minorHAnsi" w:cstheme="minorHAnsi"/>
                <w:sz w:val="24"/>
                <w:szCs w:val="24"/>
              </w:rPr>
            </w:pPr>
            <w:r w:rsidRPr="001E1402">
              <w:rPr>
                <w:rFonts w:asciiTheme="minorHAnsi" w:hAnsiTheme="minorHAnsi" w:cstheme="minorHAnsi"/>
                <w:sz w:val="24"/>
                <w:szCs w:val="24"/>
              </w:rPr>
              <w:t>Scope:</w:t>
            </w:r>
          </w:p>
        </w:tc>
        <w:tc>
          <w:tcPr>
            <w:tcW w:w="8010" w:type="dxa"/>
          </w:tcPr>
          <w:p w14:paraId="3658CB84" w14:textId="77777777" w:rsidR="009330D4" w:rsidRDefault="00000000">
            <w:pPr>
              <w:spacing w:after="60"/>
              <w:jc w:val="both"/>
            </w:pPr>
            <w:r>
              <w:rPr>
                <w:rFonts w:ascii="Calibri" w:hAnsi="Calibri"/>
                <w:sz w:val="24"/>
              </w:rPr>
              <w:t>This document applies to the corporate management, operational departments, project teams, support functions, employees, workers, contractors and subcontractors involved in the provision of supply, installation, maintenance and servicing of Mechanical and Electrical systems. It covers 132 kV substation construction, 33/11 kV substations, continuous glucose system manufacturing plants, industrial and green plants, utility infrastructure, commercial and residential developments, service and maintenance operations, data centres and overseas projects under the Company’s control or influence.</w:t>
            </w:r>
          </w:p>
        </w:tc>
      </w:tr>
      <w:tr w:rsidR="009E3C35" w:rsidRPr="001E1402" w14:paraId="7ACC9CEE" w14:textId="77777777" w:rsidTr="001E1402">
        <w:tc>
          <w:tcPr>
            <w:tcW w:w="1748" w:type="dxa"/>
          </w:tcPr>
          <w:p w14:paraId="7A2398B4" w14:textId="77777777" w:rsidR="009E3C35" w:rsidRPr="001E1402" w:rsidRDefault="009E3C35" w:rsidP="005E0483">
            <w:pPr>
              <w:rPr>
                <w:rFonts w:asciiTheme="minorHAnsi" w:hAnsiTheme="minorHAnsi" w:cstheme="minorHAnsi"/>
                <w:sz w:val="24"/>
                <w:szCs w:val="24"/>
              </w:rPr>
            </w:pPr>
            <w:r>
              <w:rPr>
                <w:rFonts w:asciiTheme="minorHAnsi" w:hAnsiTheme="minorHAnsi" w:cstheme="minorHAnsi"/>
                <w:sz w:val="24"/>
                <w:szCs w:val="24"/>
              </w:rPr>
              <w:t>Duties &amp; Responsibilities</w:t>
            </w:r>
          </w:p>
        </w:tc>
        <w:tc>
          <w:tcPr>
            <w:tcW w:w="8010" w:type="dxa"/>
          </w:tcPr>
          <w:p w14:paraId="42A62455" w14:textId="77777777" w:rsidR="009330D4" w:rsidRDefault="00000000">
            <w:pPr>
              <w:spacing w:after="60"/>
              <w:jc w:val="both"/>
            </w:pPr>
            <w:r>
              <w:rPr>
                <w:rFonts w:ascii="Calibri" w:hAnsi="Calibri"/>
                <w:sz w:val="24"/>
              </w:rPr>
              <w:t>The Managing Director shall remain accountable for the effectiveness of the OHSMS and shall ensure that its context is compatible with the Company’s strategic direction. The Executive Director shall oversee the application of Clause 4 across business and project operations and shall ensure that adequate resources, authority and governance arrangements are available. The ISO Manager shall maintain this document, coordinate the review of internal and external issues, interested-party requirements, scope and process interactions and ensure that relevant changes are presented for management review. The Head of HSE shall evaluate the occupational health and safety implications of the identified context and ensure that significant matters are reflected in HIRARC, legal compliance, objectives, operational controls, emergency preparedness, monitoring, audit and improvement. Department Heads and Project Managers shall identify and report changes affecting their activities and shall implement approved controls. Workers and their representatives shall be consulted on matters that affect their health, safety and working conditions.</w:t>
            </w:r>
          </w:p>
        </w:tc>
      </w:tr>
      <w:tr w:rsidR="001E1402" w:rsidRPr="001E1402" w14:paraId="18606BA1" w14:textId="77777777" w:rsidTr="001E1402">
        <w:tc>
          <w:tcPr>
            <w:tcW w:w="1748" w:type="dxa"/>
          </w:tcPr>
          <w:p w14:paraId="16AD3E50" w14:textId="77777777" w:rsidR="001E1402" w:rsidRPr="001E1402" w:rsidRDefault="001E1402" w:rsidP="005E0483">
            <w:pPr>
              <w:rPr>
                <w:rFonts w:asciiTheme="minorHAnsi" w:hAnsiTheme="minorHAnsi" w:cstheme="minorHAnsi"/>
                <w:sz w:val="24"/>
                <w:szCs w:val="24"/>
              </w:rPr>
            </w:pPr>
            <w:r w:rsidRPr="001E1402">
              <w:rPr>
                <w:rFonts w:asciiTheme="minorHAnsi" w:hAnsiTheme="minorHAnsi" w:cstheme="minorHAnsi"/>
                <w:sz w:val="24"/>
                <w:szCs w:val="24"/>
              </w:rPr>
              <w:t>ISO Reference:</w:t>
            </w:r>
          </w:p>
        </w:tc>
        <w:tc>
          <w:tcPr>
            <w:tcW w:w="8010" w:type="dxa"/>
          </w:tcPr>
          <w:p w14:paraId="0F3C539D" w14:textId="77777777" w:rsidR="009330D4" w:rsidRDefault="00000000">
            <w:pPr>
              <w:spacing w:after="60"/>
              <w:jc w:val="both"/>
            </w:pPr>
            <w:r>
              <w:rPr>
                <w:rFonts w:ascii="Calibri" w:hAnsi="Calibri"/>
                <w:sz w:val="24"/>
              </w:rPr>
              <w:t>MS ISO 45001:2018 Clause 4 including Clauses 4.1, 4.2, 4.3 and 4.4 and ISO 45001:2018/Amd 1:2024 Climate Action Changes.</w:t>
            </w:r>
          </w:p>
        </w:tc>
      </w:tr>
    </w:tbl>
    <w:p w14:paraId="460DBECD" w14:textId="77777777" w:rsidR="001E1402" w:rsidRDefault="001E1402" w:rsidP="001E1402">
      <w:pPr>
        <w:ind w:left="709" w:hanging="709"/>
        <w:rPr>
          <w:rFonts w:ascii="Calibri" w:hAnsi="Calibri"/>
        </w:rPr>
      </w:pPr>
    </w:p>
    <w:tbl>
      <w:tblPr>
        <w:tblStyle w:val="TableGrid"/>
        <w:tblW w:w="9810" w:type="dxa"/>
        <w:tblInd w:w="250" w:type="dxa"/>
        <w:tblLook w:val="04A0" w:firstRow="1" w:lastRow="0" w:firstColumn="1" w:lastColumn="0" w:noHBand="0" w:noVBand="1"/>
      </w:tblPr>
      <w:tblGrid>
        <w:gridCol w:w="1730"/>
        <w:gridCol w:w="2013"/>
        <w:gridCol w:w="1672"/>
        <w:gridCol w:w="4395"/>
      </w:tblGrid>
      <w:tr w:rsidR="001E1402" w:rsidRPr="001E1402" w14:paraId="5C74C688" w14:textId="77777777" w:rsidTr="001E1402">
        <w:tc>
          <w:tcPr>
            <w:tcW w:w="9810" w:type="dxa"/>
            <w:gridSpan w:val="4"/>
            <w:shd w:val="clear" w:color="auto" w:fill="CCFFFF"/>
          </w:tcPr>
          <w:p w14:paraId="185DAAF9" w14:textId="77777777" w:rsidR="001E1402" w:rsidRPr="001E1402" w:rsidRDefault="001E1402" w:rsidP="005E0483">
            <w:pPr>
              <w:rPr>
                <w:rFonts w:asciiTheme="minorHAnsi" w:hAnsiTheme="minorHAnsi" w:cstheme="minorHAnsi"/>
                <w:sz w:val="24"/>
                <w:szCs w:val="24"/>
              </w:rPr>
            </w:pPr>
            <w:r w:rsidRPr="001E1402">
              <w:rPr>
                <w:rFonts w:asciiTheme="minorHAnsi" w:hAnsiTheme="minorHAnsi" w:cstheme="minorHAnsi"/>
                <w:sz w:val="24"/>
                <w:szCs w:val="24"/>
              </w:rPr>
              <w:t>Revision History</w:t>
            </w:r>
          </w:p>
        </w:tc>
      </w:tr>
      <w:tr w:rsidR="001E1402" w:rsidRPr="001E1402" w14:paraId="3176CE85" w14:textId="77777777" w:rsidTr="001E1402">
        <w:tc>
          <w:tcPr>
            <w:tcW w:w="1730" w:type="dxa"/>
            <w:shd w:val="clear" w:color="auto" w:fill="DBE5F1" w:themeFill="accent1" w:themeFillTint="33"/>
          </w:tcPr>
          <w:p w14:paraId="06F13277" w14:textId="77777777" w:rsidR="001E1402" w:rsidRPr="001E1402" w:rsidRDefault="001E1402" w:rsidP="005E0483">
            <w:pPr>
              <w:jc w:val="center"/>
              <w:rPr>
                <w:rFonts w:asciiTheme="minorHAnsi" w:hAnsiTheme="minorHAnsi" w:cstheme="minorHAnsi"/>
                <w:sz w:val="24"/>
                <w:szCs w:val="24"/>
              </w:rPr>
            </w:pPr>
            <w:r w:rsidRPr="001E1402">
              <w:rPr>
                <w:rFonts w:asciiTheme="minorHAnsi" w:hAnsiTheme="minorHAnsi" w:cstheme="minorHAnsi"/>
                <w:sz w:val="24"/>
                <w:szCs w:val="24"/>
              </w:rPr>
              <w:t>Revision No.</w:t>
            </w:r>
          </w:p>
        </w:tc>
        <w:tc>
          <w:tcPr>
            <w:tcW w:w="2013" w:type="dxa"/>
            <w:shd w:val="clear" w:color="auto" w:fill="DBE5F1" w:themeFill="accent1" w:themeFillTint="33"/>
          </w:tcPr>
          <w:p w14:paraId="6E29B7A6" w14:textId="77777777" w:rsidR="001E1402" w:rsidRPr="001E1402" w:rsidRDefault="001E1402" w:rsidP="005E0483">
            <w:pPr>
              <w:jc w:val="center"/>
              <w:rPr>
                <w:rFonts w:asciiTheme="minorHAnsi" w:hAnsiTheme="minorHAnsi" w:cstheme="minorHAnsi"/>
                <w:sz w:val="24"/>
                <w:szCs w:val="24"/>
              </w:rPr>
            </w:pPr>
            <w:r w:rsidRPr="001E1402">
              <w:rPr>
                <w:rFonts w:asciiTheme="minorHAnsi" w:hAnsiTheme="minorHAnsi" w:cstheme="minorHAnsi"/>
                <w:sz w:val="24"/>
                <w:szCs w:val="24"/>
              </w:rPr>
              <w:t>Revision Date</w:t>
            </w:r>
          </w:p>
        </w:tc>
        <w:tc>
          <w:tcPr>
            <w:tcW w:w="1672" w:type="dxa"/>
            <w:shd w:val="clear" w:color="auto" w:fill="DBE5F1" w:themeFill="accent1" w:themeFillTint="33"/>
          </w:tcPr>
          <w:p w14:paraId="517752E4" w14:textId="77777777" w:rsidR="001E1402" w:rsidRPr="001E1402" w:rsidRDefault="001E1402" w:rsidP="005E0483">
            <w:pPr>
              <w:jc w:val="center"/>
              <w:rPr>
                <w:rFonts w:asciiTheme="minorHAnsi" w:hAnsiTheme="minorHAnsi" w:cstheme="minorHAnsi"/>
                <w:sz w:val="24"/>
                <w:szCs w:val="24"/>
              </w:rPr>
            </w:pPr>
            <w:r w:rsidRPr="001E1402">
              <w:rPr>
                <w:rFonts w:asciiTheme="minorHAnsi" w:hAnsiTheme="minorHAnsi" w:cstheme="minorHAnsi"/>
                <w:sz w:val="24"/>
                <w:szCs w:val="24"/>
              </w:rPr>
              <w:t>Originator</w:t>
            </w:r>
          </w:p>
        </w:tc>
        <w:tc>
          <w:tcPr>
            <w:tcW w:w="4395" w:type="dxa"/>
            <w:shd w:val="clear" w:color="auto" w:fill="DBE5F1" w:themeFill="accent1" w:themeFillTint="33"/>
          </w:tcPr>
          <w:p w14:paraId="69B3CAC5" w14:textId="77777777" w:rsidR="001E1402" w:rsidRPr="001E1402" w:rsidRDefault="001E1402" w:rsidP="005E0483">
            <w:pPr>
              <w:jc w:val="center"/>
              <w:rPr>
                <w:rFonts w:asciiTheme="minorHAnsi" w:hAnsiTheme="minorHAnsi" w:cstheme="minorHAnsi"/>
                <w:sz w:val="24"/>
                <w:szCs w:val="24"/>
              </w:rPr>
            </w:pPr>
            <w:r w:rsidRPr="001E1402">
              <w:rPr>
                <w:rFonts w:asciiTheme="minorHAnsi" w:hAnsiTheme="minorHAnsi" w:cstheme="minorHAnsi"/>
                <w:sz w:val="24"/>
                <w:szCs w:val="24"/>
              </w:rPr>
              <w:t>Description of Changes</w:t>
            </w:r>
          </w:p>
        </w:tc>
      </w:tr>
      <w:tr w:rsidR="001E1402" w:rsidRPr="001E1402" w14:paraId="38ED1EEA" w14:textId="77777777" w:rsidTr="001E1402">
        <w:tc>
          <w:tcPr>
            <w:tcW w:w="1730" w:type="dxa"/>
          </w:tcPr>
          <w:p w14:paraId="35DD8DD2" w14:textId="77777777" w:rsidR="009330D4" w:rsidRDefault="00000000">
            <w:pPr>
              <w:spacing w:after="60"/>
              <w:jc w:val="center"/>
            </w:pPr>
            <w:r>
              <w:rPr>
                <w:rFonts w:ascii="Calibri" w:hAnsi="Calibri"/>
                <w:sz w:val="24"/>
              </w:rPr>
              <w:t>0</w:t>
            </w:r>
          </w:p>
        </w:tc>
        <w:tc>
          <w:tcPr>
            <w:tcW w:w="2013" w:type="dxa"/>
          </w:tcPr>
          <w:p w14:paraId="0F969266" w14:textId="77777777" w:rsidR="009330D4" w:rsidRDefault="00000000">
            <w:pPr>
              <w:spacing w:after="60"/>
              <w:jc w:val="center"/>
            </w:pPr>
            <w:r>
              <w:rPr>
                <w:rFonts w:ascii="Calibri" w:hAnsi="Calibri"/>
                <w:sz w:val="24"/>
              </w:rPr>
              <w:t>01 September 2026</w:t>
            </w:r>
          </w:p>
        </w:tc>
        <w:tc>
          <w:tcPr>
            <w:tcW w:w="1672" w:type="dxa"/>
          </w:tcPr>
          <w:p w14:paraId="1E7B161E" w14:textId="77777777" w:rsidR="009330D4" w:rsidRDefault="00000000">
            <w:pPr>
              <w:spacing w:after="60"/>
              <w:jc w:val="center"/>
            </w:pPr>
            <w:r>
              <w:rPr>
                <w:rFonts w:ascii="Calibri" w:hAnsi="Calibri"/>
                <w:sz w:val="24"/>
              </w:rPr>
              <w:t>ISO Manager</w:t>
            </w:r>
          </w:p>
        </w:tc>
        <w:tc>
          <w:tcPr>
            <w:tcW w:w="4395" w:type="dxa"/>
          </w:tcPr>
          <w:p w14:paraId="730C462D" w14:textId="77777777" w:rsidR="009330D4" w:rsidRDefault="00000000">
            <w:pPr>
              <w:spacing w:after="60"/>
              <w:jc w:val="both"/>
            </w:pPr>
            <w:r>
              <w:rPr>
                <w:rFonts w:ascii="Calibri" w:hAnsi="Calibri"/>
                <w:sz w:val="24"/>
              </w:rPr>
              <w:t>Initial issue for implementation of MS ISO 45001:2018 Clause 4 including Amendment 1:2024 climate action changes</w:t>
            </w:r>
          </w:p>
        </w:tc>
      </w:tr>
      <w:tr w:rsidR="001E1402" w:rsidRPr="001E1402" w14:paraId="606905EF" w14:textId="77777777" w:rsidTr="001E1402">
        <w:tc>
          <w:tcPr>
            <w:tcW w:w="1730" w:type="dxa"/>
          </w:tcPr>
          <w:p w14:paraId="7BC7C681" w14:textId="77777777" w:rsidR="001E1402" w:rsidRPr="001E1402" w:rsidRDefault="001E1402" w:rsidP="005E0483">
            <w:pPr>
              <w:jc w:val="center"/>
              <w:rPr>
                <w:rFonts w:asciiTheme="minorHAnsi" w:hAnsiTheme="minorHAnsi" w:cstheme="minorHAnsi"/>
                <w:sz w:val="24"/>
                <w:szCs w:val="24"/>
              </w:rPr>
            </w:pPr>
          </w:p>
        </w:tc>
        <w:tc>
          <w:tcPr>
            <w:tcW w:w="2013" w:type="dxa"/>
          </w:tcPr>
          <w:p w14:paraId="3A17385A" w14:textId="77777777" w:rsidR="001E1402" w:rsidRPr="001E1402" w:rsidRDefault="001E1402" w:rsidP="005E0483">
            <w:pPr>
              <w:rPr>
                <w:rFonts w:asciiTheme="minorHAnsi" w:hAnsiTheme="minorHAnsi" w:cstheme="minorHAnsi"/>
                <w:sz w:val="24"/>
                <w:szCs w:val="24"/>
              </w:rPr>
            </w:pPr>
          </w:p>
        </w:tc>
        <w:tc>
          <w:tcPr>
            <w:tcW w:w="1672" w:type="dxa"/>
          </w:tcPr>
          <w:p w14:paraId="27D9A758" w14:textId="77777777" w:rsidR="001E1402" w:rsidRPr="001E1402" w:rsidRDefault="001E1402" w:rsidP="005E0483">
            <w:pPr>
              <w:rPr>
                <w:rFonts w:asciiTheme="minorHAnsi" w:hAnsiTheme="minorHAnsi" w:cstheme="minorHAnsi"/>
                <w:sz w:val="24"/>
                <w:szCs w:val="24"/>
              </w:rPr>
            </w:pPr>
          </w:p>
        </w:tc>
        <w:tc>
          <w:tcPr>
            <w:tcW w:w="4395" w:type="dxa"/>
          </w:tcPr>
          <w:p w14:paraId="63F59BDB" w14:textId="77777777" w:rsidR="001E1402" w:rsidRPr="001E1402" w:rsidRDefault="001E1402" w:rsidP="005E0483">
            <w:pPr>
              <w:rPr>
                <w:rFonts w:asciiTheme="minorHAnsi" w:hAnsiTheme="minorHAnsi" w:cstheme="minorHAnsi"/>
                <w:sz w:val="24"/>
                <w:szCs w:val="24"/>
              </w:rPr>
            </w:pPr>
          </w:p>
        </w:tc>
      </w:tr>
    </w:tbl>
    <w:p w14:paraId="381598D0" w14:textId="77777777" w:rsidR="00F84608" w:rsidRPr="009E271B" w:rsidRDefault="00F84608" w:rsidP="009E271B">
      <w:pPr>
        <w:pStyle w:val="BodyText"/>
      </w:pPr>
    </w:p>
    <w:tbl>
      <w:tblPr>
        <w:tblStyle w:val="TableGrid"/>
        <w:tblW w:w="9781" w:type="dxa"/>
        <w:tblInd w:w="250" w:type="dxa"/>
        <w:tblLook w:val="04A0" w:firstRow="1" w:lastRow="0" w:firstColumn="1" w:lastColumn="0" w:noHBand="0" w:noVBand="1"/>
      </w:tblPr>
      <w:tblGrid>
        <w:gridCol w:w="1730"/>
        <w:gridCol w:w="8051"/>
      </w:tblGrid>
      <w:tr w:rsidR="00BA7E83" w14:paraId="61D40ED1" w14:textId="77777777" w:rsidTr="00BA7E83">
        <w:tc>
          <w:tcPr>
            <w:tcW w:w="9781" w:type="dxa"/>
            <w:gridSpan w:val="2"/>
            <w:shd w:val="clear" w:color="auto" w:fill="C6F4F1"/>
          </w:tcPr>
          <w:p w14:paraId="2F942820" w14:textId="77777777" w:rsidR="009330D4" w:rsidRDefault="00000000">
            <w:pPr>
              <w:spacing w:after="60"/>
            </w:pPr>
            <w:r>
              <w:rPr>
                <w:rFonts w:ascii="Calibri" w:hAnsi="Calibri"/>
                <w:b/>
                <w:sz w:val="24"/>
              </w:rPr>
              <w:t>Abbreviation &amp; Definition</w:t>
            </w:r>
          </w:p>
        </w:tc>
      </w:tr>
      <w:tr w:rsidR="005F13C1" w14:paraId="4AFFF3FE" w14:textId="77777777" w:rsidTr="007914E0">
        <w:tc>
          <w:tcPr>
            <w:tcW w:w="1730" w:type="dxa"/>
          </w:tcPr>
          <w:p w14:paraId="1F4954CD" w14:textId="77777777" w:rsidR="009330D4" w:rsidRDefault="00000000">
            <w:pPr>
              <w:spacing w:after="60"/>
            </w:pPr>
            <w:r>
              <w:rPr>
                <w:rFonts w:ascii="Calibri" w:hAnsi="Calibri"/>
                <w:b/>
                <w:sz w:val="24"/>
              </w:rPr>
              <w:t>BIM</w:t>
            </w:r>
          </w:p>
        </w:tc>
        <w:tc>
          <w:tcPr>
            <w:tcW w:w="8051" w:type="dxa"/>
          </w:tcPr>
          <w:p w14:paraId="5B46ED06" w14:textId="77777777" w:rsidR="009330D4" w:rsidRDefault="00000000">
            <w:pPr>
              <w:spacing w:after="60"/>
            </w:pPr>
            <w:r>
              <w:rPr>
                <w:rFonts w:ascii="Calibri" w:hAnsi="Calibri"/>
                <w:sz w:val="24"/>
              </w:rPr>
              <w:t>Building Information Modelling</w:t>
            </w:r>
          </w:p>
        </w:tc>
      </w:tr>
      <w:tr w:rsidR="005F13C1" w14:paraId="6D2829B1" w14:textId="77777777" w:rsidTr="007914E0">
        <w:tc>
          <w:tcPr>
            <w:tcW w:w="1730" w:type="dxa"/>
          </w:tcPr>
          <w:p w14:paraId="584037EE" w14:textId="77777777" w:rsidR="009330D4" w:rsidRDefault="00000000">
            <w:pPr>
              <w:spacing w:after="60"/>
            </w:pPr>
            <w:r>
              <w:rPr>
                <w:rFonts w:ascii="Calibri" w:hAnsi="Calibri"/>
                <w:b/>
                <w:sz w:val="24"/>
              </w:rPr>
              <w:t>DOSH</w:t>
            </w:r>
          </w:p>
        </w:tc>
        <w:tc>
          <w:tcPr>
            <w:tcW w:w="8051" w:type="dxa"/>
          </w:tcPr>
          <w:p w14:paraId="32AE8B71" w14:textId="77777777" w:rsidR="009330D4" w:rsidRDefault="00000000">
            <w:pPr>
              <w:spacing w:after="60"/>
            </w:pPr>
            <w:r>
              <w:rPr>
                <w:rFonts w:ascii="Calibri" w:hAnsi="Calibri"/>
                <w:sz w:val="24"/>
              </w:rPr>
              <w:t>Department of Occupational Safety and Health Malaysia</w:t>
            </w:r>
          </w:p>
        </w:tc>
      </w:tr>
      <w:tr w:rsidR="005F13C1" w14:paraId="2FED6136" w14:textId="77777777" w:rsidTr="007914E0">
        <w:tc>
          <w:tcPr>
            <w:tcW w:w="1730" w:type="dxa"/>
          </w:tcPr>
          <w:p w14:paraId="38D45B9E" w14:textId="77777777" w:rsidR="009330D4" w:rsidRDefault="00000000">
            <w:pPr>
              <w:spacing w:after="60"/>
            </w:pPr>
            <w:r>
              <w:rPr>
                <w:rFonts w:ascii="Calibri" w:hAnsi="Calibri"/>
                <w:b/>
                <w:sz w:val="24"/>
              </w:rPr>
              <w:lastRenderedPageBreak/>
              <w:t>ED</w:t>
            </w:r>
          </w:p>
        </w:tc>
        <w:tc>
          <w:tcPr>
            <w:tcW w:w="8051" w:type="dxa"/>
          </w:tcPr>
          <w:p w14:paraId="45CBA107" w14:textId="77777777" w:rsidR="009330D4" w:rsidRDefault="00000000">
            <w:pPr>
              <w:spacing w:after="60"/>
            </w:pPr>
            <w:r>
              <w:rPr>
                <w:rFonts w:ascii="Calibri" w:hAnsi="Calibri"/>
                <w:sz w:val="24"/>
              </w:rPr>
              <w:t>Executive Director</w:t>
            </w:r>
          </w:p>
        </w:tc>
      </w:tr>
      <w:tr w:rsidR="005F13C1" w14:paraId="5D95A6A2" w14:textId="77777777" w:rsidTr="007914E0">
        <w:tc>
          <w:tcPr>
            <w:tcW w:w="1730" w:type="dxa"/>
          </w:tcPr>
          <w:p w14:paraId="40B71C06" w14:textId="77777777" w:rsidR="009330D4" w:rsidRDefault="00000000">
            <w:pPr>
              <w:spacing w:after="60"/>
            </w:pPr>
            <w:r>
              <w:rPr>
                <w:rFonts w:ascii="Calibri" w:hAnsi="Calibri"/>
                <w:b/>
                <w:sz w:val="24"/>
              </w:rPr>
              <w:t>HIRARC</w:t>
            </w:r>
          </w:p>
        </w:tc>
        <w:tc>
          <w:tcPr>
            <w:tcW w:w="8051" w:type="dxa"/>
          </w:tcPr>
          <w:p w14:paraId="4BBAEFFD" w14:textId="77777777" w:rsidR="009330D4" w:rsidRDefault="00000000">
            <w:pPr>
              <w:spacing w:after="60"/>
            </w:pPr>
            <w:r>
              <w:rPr>
                <w:rFonts w:ascii="Calibri" w:hAnsi="Calibri"/>
                <w:sz w:val="24"/>
              </w:rPr>
              <w:t>Hazard Identification, Risk Assessment and Risk Control</w:t>
            </w:r>
          </w:p>
        </w:tc>
      </w:tr>
      <w:tr w:rsidR="009330D4" w14:paraId="03519857" w14:textId="77777777">
        <w:tc>
          <w:tcPr>
            <w:tcW w:w="1730" w:type="dxa"/>
          </w:tcPr>
          <w:p w14:paraId="51267A01" w14:textId="77777777" w:rsidR="009330D4" w:rsidRDefault="00000000">
            <w:pPr>
              <w:spacing w:after="60"/>
            </w:pPr>
            <w:r>
              <w:rPr>
                <w:rFonts w:ascii="Calibri" w:hAnsi="Calibri"/>
                <w:b/>
                <w:sz w:val="24"/>
              </w:rPr>
              <w:t>HSE</w:t>
            </w:r>
          </w:p>
        </w:tc>
        <w:tc>
          <w:tcPr>
            <w:tcW w:w="8051" w:type="dxa"/>
          </w:tcPr>
          <w:p w14:paraId="4C235A72" w14:textId="77777777" w:rsidR="009330D4" w:rsidRDefault="00000000">
            <w:pPr>
              <w:spacing w:after="60"/>
            </w:pPr>
            <w:r>
              <w:rPr>
                <w:rFonts w:ascii="Calibri" w:hAnsi="Calibri"/>
                <w:sz w:val="24"/>
              </w:rPr>
              <w:t>Health, Safety and Environment</w:t>
            </w:r>
          </w:p>
        </w:tc>
      </w:tr>
      <w:tr w:rsidR="009330D4" w14:paraId="18D9F8D2" w14:textId="77777777">
        <w:tc>
          <w:tcPr>
            <w:tcW w:w="1730" w:type="dxa"/>
          </w:tcPr>
          <w:p w14:paraId="6C4DFBAC" w14:textId="77777777" w:rsidR="009330D4" w:rsidRDefault="00000000">
            <w:pPr>
              <w:spacing w:after="60"/>
            </w:pPr>
            <w:r>
              <w:rPr>
                <w:rFonts w:ascii="Calibri" w:hAnsi="Calibri"/>
                <w:b/>
                <w:sz w:val="24"/>
              </w:rPr>
              <w:t>IM</w:t>
            </w:r>
          </w:p>
        </w:tc>
        <w:tc>
          <w:tcPr>
            <w:tcW w:w="8051" w:type="dxa"/>
          </w:tcPr>
          <w:p w14:paraId="06BCECED" w14:textId="77777777" w:rsidR="009330D4" w:rsidRDefault="00000000">
            <w:pPr>
              <w:spacing w:after="60"/>
            </w:pPr>
            <w:r>
              <w:rPr>
                <w:rFonts w:ascii="Calibri" w:hAnsi="Calibri"/>
                <w:sz w:val="24"/>
              </w:rPr>
              <w:t>ISO Manager</w:t>
            </w:r>
          </w:p>
        </w:tc>
      </w:tr>
      <w:tr w:rsidR="009330D4" w14:paraId="25C0C3BE" w14:textId="77777777">
        <w:tc>
          <w:tcPr>
            <w:tcW w:w="1730" w:type="dxa"/>
          </w:tcPr>
          <w:p w14:paraId="7D2B5705" w14:textId="77777777" w:rsidR="009330D4" w:rsidRDefault="00000000">
            <w:pPr>
              <w:spacing w:after="60"/>
            </w:pPr>
            <w:r>
              <w:rPr>
                <w:rFonts w:ascii="Calibri" w:hAnsi="Calibri"/>
                <w:b/>
                <w:sz w:val="24"/>
              </w:rPr>
              <w:t>M&amp;E</w:t>
            </w:r>
          </w:p>
        </w:tc>
        <w:tc>
          <w:tcPr>
            <w:tcW w:w="8051" w:type="dxa"/>
          </w:tcPr>
          <w:p w14:paraId="02B646A4" w14:textId="77777777" w:rsidR="009330D4" w:rsidRDefault="00000000">
            <w:pPr>
              <w:spacing w:after="60"/>
            </w:pPr>
            <w:r>
              <w:rPr>
                <w:rFonts w:ascii="Calibri" w:hAnsi="Calibri"/>
                <w:sz w:val="24"/>
              </w:rPr>
              <w:t>Mechanical and Electrical</w:t>
            </w:r>
          </w:p>
        </w:tc>
      </w:tr>
      <w:tr w:rsidR="009330D4" w14:paraId="0CCD94EB" w14:textId="77777777">
        <w:tc>
          <w:tcPr>
            <w:tcW w:w="1730" w:type="dxa"/>
          </w:tcPr>
          <w:p w14:paraId="6F221269" w14:textId="77777777" w:rsidR="009330D4" w:rsidRDefault="00000000">
            <w:pPr>
              <w:spacing w:after="60"/>
            </w:pPr>
            <w:r>
              <w:rPr>
                <w:rFonts w:ascii="Calibri" w:hAnsi="Calibri"/>
                <w:b/>
                <w:sz w:val="24"/>
              </w:rPr>
              <w:t>MD</w:t>
            </w:r>
          </w:p>
        </w:tc>
        <w:tc>
          <w:tcPr>
            <w:tcW w:w="8051" w:type="dxa"/>
          </w:tcPr>
          <w:p w14:paraId="09293471" w14:textId="77777777" w:rsidR="009330D4" w:rsidRDefault="00000000">
            <w:pPr>
              <w:spacing w:after="60"/>
            </w:pPr>
            <w:r>
              <w:rPr>
                <w:rFonts w:ascii="Calibri" w:hAnsi="Calibri"/>
                <w:sz w:val="24"/>
              </w:rPr>
              <w:t>Managing Director</w:t>
            </w:r>
          </w:p>
        </w:tc>
      </w:tr>
      <w:tr w:rsidR="009330D4" w14:paraId="55CB7B2B" w14:textId="77777777">
        <w:tc>
          <w:tcPr>
            <w:tcW w:w="1730" w:type="dxa"/>
          </w:tcPr>
          <w:p w14:paraId="45D6A1E2" w14:textId="77777777" w:rsidR="009330D4" w:rsidRDefault="00000000">
            <w:pPr>
              <w:spacing w:after="60"/>
            </w:pPr>
            <w:r>
              <w:rPr>
                <w:rFonts w:ascii="Calibri" w:hAnsi="Calibri"/>
                <w:b/>
                <w:sz w:val="24"/>
              </w:rPr>
              <w:t>OHSMS</w:t>
            </w:r>
          </w:p>
        </w:tc>
        <w:tc>
          <w:tcPr>
            <w:tcW w:w="8051" w:type="dxa"/>
          </w:tcPr>
          <w:p w14:paraId="560D42E0" w14:textId="77777777" w:rsidR="009330D4" w:rsidRDefault="00000000">
            <w:pPr>
              <w:spacing w:after="60"/>
            </w:pPr>
            <w:r>
              <w:rPr>
                <w:rFonts w:ascii="Calibri" w:hAnsi="Calibri"/>
                <w:sz w:val="24"/>
              </w:rPr>
              <w:t>Occupational Health and Safety Management System</w:t>
            </w:r>
          </w:p>
        </w:tc>
      </w:tr>
      <w:tr w:rsidR="009330D4" w14:paraId="30E5F93C" w14:textId="77777777">
        <w:tc>
          <w:tcPr>
            <w:tcW w:w="1730" w:type="dxa"/>
          </w:tcPr>
          <w:p w14:paraId="7A40FAC2" w14:textId="77777777" w:rsidR="009330D4" w:rsidRDefault="00000000">
            <w:pPr>
              <w:spacing w:after="60"/>
            </w:pPr>
            <w:r>
              <w:rPr>
                <w:rFonts w:ascii="Calibri" w:hAnsi="Calibri"/>
                <w:b/>
                <w:sz w:val="24"/>
              </w:rPr>
              <w:t>PESTLE</w:t>
            </w:r>
          </w:p>
        </w:tc>
        <w:tc>
          <w:tcPr>
            <w:tcW w:w="8051" w:type="dxa"/>
          </w:tcPr>
          <w:p w14:paraId="29E0D206" w14:textId="77777777" w:rsidR="009330D4" w:rsidRDefault="00000000">
            <w:pPr>
              <w:spacing w:after="60"/>
            </w:pPr>
            <w:r>
              <w:rPr>
                <w:rFonts w:ascii="Calibri" w:hAnsi="Calibri"/>
                <w:sz w:val="24"/>
              </w:rPr>
              <w:t>Political, Economic, Social, Technological, Legal and Environmental analysis</w:t>
            </w:r>
          </w:p>
        </w:tc>
      </w:tr>
      <w:tr w:rsidR="009330D4" w14:paraId="1DD82848" w14:textId="77777777">
        <w:tc>
          <w:tcPr>
            <w:tcW w:w="1730" w:type="dxa"/>
          </w:tcPr>
          <w:p w14:paraId="01975076" w14:textId="77777777" w:rsidR="009330D4" w:rsidRDefault="00000000">
            <w:pPr>
              <w:spacing w:after="60"/>
            </w:pPr>
            <w:r>
              <w:rPr>
                <w:rFonts w:ascii="Calibri" w:hAnsi="Calibri"/>
                <w:b/>
                <w:sz w:val="24"/>
              </w:rPr>
              <w:t>PIC</w:t>
            </w:r>
          </w:p>
        </w:tc>
        <w:tc>
          <w:tcPr>
            <w:tcW w:w="8051" w:type="dxa"/>
          </w:tcPr>
          <w:p w14:paraId="24F6744B" w14:textId="77777777" w:rsidR="009330D4" w:rsidRDefault="00000000">
            <w:pPr>
              <w:spacing w:after="60"/>
            </w:pPr>
            <w:r>
              <w:rPr>
                <w:rFonts w:ascii="Calibri" w:hAnsi="Calibri"/>
                <w:sz w:val="24"/>
              </w:rPr>
              <w:t>Person in Charge</w:t>
            </w:r>
          </w:p>
        </w:tc>
      </w:tr>
      <w:tr w:rsidR="009330D4" w14:paraId="78176E59" w14:textId="77777777">
        <w:tc>
          <w:tcPr>
            <w:tcW w:w="1730" w:type="dxa"/>
          </w:tcPr>
          <w:p w14:paraId="088E18A1" w14:textId="77777777" w:rsidR="009330D4" w:rsidRDefault="00000000">
            <w:pPr>
              <w:spacing w:after="60"/>
            </w:pPr>
            <w:r>
              <w:rPr>
                <w:rFonts w:ascii="Calibri" w:hAnsi="Calibri"/>
                <w:b/>
                <w:sz w:val="24"/>
              </w:rPr>
              <w:t>PPE</w:t>
            </w:r>
          </w:p>
        </w:tc>
        <w:tc>
          <w:tcPr>
            <w:tcW w:w="8051" w:type="dxa"/>
          </w:tcPr>
          <w:p w14:paraId="4E5398BD" w14:textId="77777777" w:rsidR="009330D4" w:rsidRDefault="00000000">
            <w:pPr>
              <w:spacing w:after="60"/>
            </w:pPr>
            <w:r>
              <w:rPr>
                <w:rFonts w:ascii="Calibri" w:hAnsi="Calibri"/>
                <w:sz w:val="24"/>
              </w:rPr>
              <w:t>Personal Protective Equipment</w:t>
            </w:r>
          </w:p>
        </w:tc>
      </w:tr>
      <w:tr w:rsidR="009330D4" w14:paraId="737C99B5" w14:textId="77777777">
        <w:tc>
          <w:tcPr>
            <w:tcW w:w="1730" w:type="dxa"/>
          </w:tcPr>
          <w:p w14:paraId="35F15334" w14:textId="77777777" w:rsidR="009330D4" w:rsidRDefault="00000000">
            <w:pPr>
              <w:spacing w:after="60"/>
            </w:pPr>
            <w:r>
              <w:rPr>
                <w:rFonts w:ascii="Calibri" w:hAnsi="Calibri"/>
                <w:b/>
                <w:sz w:val="24"/>
              </w:rPr>
              <w:t>SHO</w:t>
            </w:r>
          </w:p>
        </w:tc>
        <w:tc>
          <w:tcPr>
            <w:tcW w:w="8051" w:type="dxa"/>
          </w:tcPr>
          <w:p w14:paraId="0611C9EF" w14:textId="77777777" w:rsidR="009330D4" w:rsidRDefault="00000000">
            <w:pPr>
              <w:spacing w:after="60"/>
            </w:pPr>
            <w:r>
              <w:rPr>
                <w:rFonts w:ascii="Calibri" w:hAnsi="Calibri"/>
                <w:sz w:val="24"/>
              </w:rPr>
              <w:t>Safety and Health Officer</w:t>
            </w:r>
          </w:p>
        </w:tc>
      </w:tr>
      <w:tr w:rsidR="009330D4" w14:paraId="7BA28E61" w14:textId="77777777">
        <w:tc>
          <w:tcPr>
            <w:tcW w:w="1730" w:type="dxa"/>
          </w:tcPr>
          <w:p w14:paraId="0E21A453" w14:textId="77777777" w:rsidR="009330D4" w:rsidRDefault="00000000">
            <w:pPr>
              <w:spacing w:after="60"/>
            </w:pPr>
            <w:r>
              <w:rPr>
                <w:rFonts w:ascii="Calibri" w:hAnsi="Calibri"/>
                <w:b/>
                <w:sz w:val="24"/>
              </w:rPr>
              <w:t>ST</w:t>
            </w:r>
          </w:p>
        </w:tc>
        <w:tc>
          <w:tcPr>
            <w:tcW w:w="8051" w:type="dxa"/>
          </w:tcPr>
          <w:p w14:paraId="3BA9C976" w14:textId="77777777" w:rsidR="009330D4" w:rsidRDefault="00000000">
            <w:pPr>
              <w:spacing w:after="60"/>
            </w:pPr>
            <w:r>
              <w:rPr>
                <w:rFonts w:ascii="Calibri" w:hAnsi="Calibri"/>
                <w:sz w:val="24"/>
              </w:rPr>
              <w:t>Suruhanjaya Tenaga or Energy Commission Malaysia</w:t>
            </w:r>
          </w:p>
        </w:tc>
      </w:tr>
      <w:tr w:rsidR="009330D4" w14:paraId="24F019D5" w14:textId="77777777">
        <w:tc>
          <w:tcPr>
            <w:tcW w:w="1730" w:type="dxa"/>
          </w:tcPr>
          <w:p w14:paraId="263D0944" w14:textId="77777777" w:rsidR="009330D4" w:rsidRDefault="00000000">
            <w:pPr>
              <w:spacing w:after="60"/>
            </w:pPr>
            <w:r>
              <w:rPr>
                <w:rFonts w:ascii="Calibri" w:hAnsi="Calibri"/>
                <w:b/>
                <w:sz w:val="24"/>
              </w:rPr>
              <w:t>SWOT</w:t>
            </w:r>
          </w:p>
        </w:tc>
        <w:tc>
          <w:tcPr>
            <w:tcW w:w="8051" w:type="dxa"/>
          </w:tcPr>
          <w:p w14:paraId="0E992A15" w14:textId="77777777" w:rsidR="009330D4" w:rsidRDefault="00000000">
            <w:pPr>
              <w:spacing w:after="60"/>
            </w:pPr>
            <w:r>
              <w:rPr>
                <w:rFonts w:ascii="Calibri" w:hAnsi="Calibri"/>
                <w:sz w:val="24"/>
              </w:rPr>
              <w:t>Strengths, Weaknesses, Opportunities and Threats analysis</w:t>
            </w:r>
          </w:p>
        </w:tc>
      </w:tr>
    </w:tbl>
    <w:p w14:paraId="2A1BCEAE" w14:textId="77777777" w:rsidR="00F84608" w:rsidRDefault="00F84608">
      <w:pPr>
        <w:pStyle w:val="BodyText"/>
        <w:spacing w:before="8"/>
        <w:rPr>
          <w:sz w:val="16"/>
        </w:rPr>
      </w:pPr>
    </w:p>
    <w:tbl>
      <w:tblPr>
        <w:tblStyle w:val="TableGrid"/>
        <w:tblW w:w="0" w:type="auto"/>
        <w:tblInd w:w="284" w:type="dxa"/>
        <w:tblLayout w:type="fixed"/>
        <w:tblLook w:val="04A0" w:firstRow="1" w:lastRow="0" w:firstColumn="1" w:lastColumn="0" w:noHBand="0" w:noVBand="1"/>
      </w:tblPr>
      <w:tblGrid>
        <w:gridCol w:w="689"/>
        <w:gridCol w:w="6110"/>
        <w:gridCol w:w="1145"/>
        <w:gridCol w:w="1782"/>
      </w:tblGrid>
      <w:tr w:rsidR="00543B6A" w14:paraId="49F1DB55" w14:textId="77777777" w:rsidTr="009E3C35">
        <w:trPr>
          <w:tblHeader/>
        </w:trPr>
        <w:tc>
          <w:tcPr>
            <w:tcW w:w="689" w:type="dxa"/>
            <w:shd w:val="clear" w:color="auto" w:fill="C6F4F1"/>
          </w:tcPr>
          <w:p w14:paraId="07D4BBEF" w14:textId="77777777" w:rsidR="009330D4" w:rsidRDefault="00000000">
            <w:pPr>
              <w:spacing w:after="60"/>
              <w:jc w:val="center"/>
            </w:pPr>
            <w:r>
              <w:rPr>
                <w:rFonts w:ascii="Calibri" w:hAnsi="Calibri"/>
                <w:b/>
                <w:sz w:val="24"/>
              </w:rPr>
              <w:lastRenderedPageBreak/>
              <w:t>Step</w:t>
            </w:r>
          </w:p>
        </w:tc>
        <w:tc>
          <w:tcPr>
            <w:tcW w:w="6110" w:type="dxa"/>
            <w:shd w:val="clear" w:color="auto" w:fill="C6F4F1"/>
          </w:tcPr>
          <w:p w14:paraId="073A87AF" w14:textId="77777777" w:rsidR="009330D4" w:rsidRDefault="00000000">
            <w:pPr>
              <w:spacing w:after="60"/>
              <w:jc w:val="center"/>
            </w:pPr>
            <w:r>
              <w:rPr>
                <w:rFonts w:ascii="Calibri" w:hAnsi="Calibri"/>
                <w:b/>
                <w:sz w:val="24"/>
              </w:rPr>
              <w:t>Activity</w:t>
            </w:r>
          </w:p>
        </w:tc>
        <w:tc>
          <w:tcPr>
            <w:tcW w:w="1145" w:type="dxa"/>
            <w:shd w:val="clear" w:color="auto" w:fill="C6F4F1"/>
          </w:tcPr>
          <w:p w14:paraId="6B73FF77" w14:textId="77777777" w:rsidR="009330D4" w:rsidRDefault="00000000">
            <w:pPr>
              <w:spacing w:after="60"/>
              <w:jc w:val="center"/>
            </w:pPr>
            <w:r>
              <w:rPr>
                <w:rFonts w:ascii="Calibri" w:hAnsi="Calibri"/>
                <w:b/>
                <w:sz w:val="24"/>
              </w:rPr>
              <w:t>PIC</w:t>
            </w:r>
          </w:p>
        </w:tc>
        <w:tc>
          <w:tcPr>
            <w:tcW w:w="1782" w:type="dxa"/>
            <w:shd w:val="clear" w:color="auto" w:fill="C6F4F1"/>
          </w:tcPr>
          <w:p w14:paraId="5C1C6F97" w14:textId="77777777" w:rsidR="009330D4" w:rsidRDefault="00000000">
            <w:pPr>
              <w:spacing w:after="60"/>
              <w:jc w:val="center"/>
            </w:pPr>
            <w:r>
              <w:rPr>
                <w:rFonts w:ascii="Calibri" w:hAnsi="Calibri"/>
                <w:b/>
                <w:sz w:val="24"/>
              </w:rPr>
              <w:t>Reference</w:t>
            </w:r>
          </w:p>
        </w:tc>
      </w:tr>
      <w:tr w:rsidR="009330D4" w14:paraId="17BAD31E" w14:textId="77777777">
        <w:trPr>
          <w:cantSplit/>
        </w:trPr>
        <w:tc>
          <w:tcPr>
            <w:tcW w:w="689" w:type="dxa"/>
          </w:tcPr>
          <w:p w14:paraId="5E781FCC" w14:textId="77777777" w:rsidR="009330D4" w:rsidRDefault="00000000">
            <w:pPr>
              <w:spacing w:after="60"/>
              <w:jc w:val="center"/>
            </w:pPr>
            <w:r>
              <w:rPr>
                <w:rFonts w:ascii="Calibri" w:hAnsi="Calibri"/>
                <w:b/>
                <w:sz w:val="24"/>
              </w:rPr>
              <w:t>1</w:t>
            </w:r>
          </w:p>
        </w:tc>
        <w:tc>
          <w:tcPr>
            <w:tcW w:w="6110" w:type="dxa"/>
          </w:tcPr>
          <w:p w14:paraId="4168BFBC" w14:textId="77777777" w:rsidR="009330D4" w:rsidRDefault="00000000">
            <w:pPr>
              <w:spacing w:after="60"/>
            </w:pPr>
            <w:r>
              <w:rPr>
                <w:rFonts w:ascii="Calibri" w:hAnsi="Calibri"/>
                <w:b/>
                <w:sz w:val="24"/>
              </w:rPr>
              <w:t>4 Context of the Organisation and Company Profile</w:t>
            </w:r>
          </w:p>
          <w:p w14:paraId="6A9054FA" w14:textId="77777777" w:rsidR="009330D4" w:rsidRDefault="00000000">
            <w:pPr>
              <w:spacing w:after="100"/>
              <w:jc w:val="both"/>
            </w:pPr>
            <w:r>
              <w:rPr>
                <w:rFonts w:ascii="Calibri" w:hAnsi="Calibri"/>
                <w:b/>
                <w:sz w:val="24"/>
              </w:rPr>
              <w:t xml:space="preserve">4.1.1 Company Profile. </w:t>
            </w:r>
            <w:r>
              <w:rPr>
                <w:rFonts w:ascii="Calibri" w:hAnsi="Calibri"/>
                <w:sz w:val="24"/>
              </w:rPr>
              <w:t>The Company is a Malaysian public listed Mechanical and Electrical engineering and contracting organisation that plans, supplies, installs, tests, commissions, maintains and services M&amp;E systems. Its activities are performed through corporate functions, project departments, engineering teams, commercial and procurement functions, safety and health personnel, competent electrical persons, site supervision, workers and an extensive network of suppliers and subcontractors. The Company operates within Malaysia and may undertake overseas work where host-country legislation, client standards and local conditions must be integrated with corporate OHSMS requirements.</w:t>
            </w:r>
          </w:p>
          <w:p w14:paraId="3E18F82D" w14:textId="77777777" w:rsidR="009330D4" w:rsidRDefault="00000000">
            <w:pPr>
              <w:spacing w:after="100"/>
              <w:jc w:val="both"/>
            </w:pPr>
            <w:r>
              <w:rPr>
                <w:rFonts w:ascii="Calibri" w:hAnsi="Calibri"/>
                <w:b/>
                <w:sz w:val="24"/>
              </w:rPr>
              <w:t xml:space="preserve">4.1.2 Operational Sectors. </w:t>
            </w:r>
            <w:r>
              <w:rPr>
                <w:rFonts w:ascii="Calibri" w:hAnsi="Calibri"/>
                <w:sz w:val="24"/>
              </w:rPr>
              <w:t>The Company’s work includes 132 kV transmission substations, 33/11 kV distribution substations, continuous glucose system manufacturing plants, industrial facilities, green plants, utilities and infrastructure, commercial and residential developments, service and maintenance contracts and data centres. These sectors involve different combinations of high-voltage and low-voltage electricity, stored energy, lifting operations, work at height, excavation, confined spaces, hot work, construction plant, chemicals, occupational health exposure, critical-system interfaces and testing or energisation risk.</w:t>
            </w:r>
          </w:p>
          <w:p w14:paraId="5EF5ABC4" w14:textId="77777777" w:rsidR="009330D4" w:rsidRDefault="00000000">
            <w:pPr>
              <w:spacing w:after="100"/>
              <w:jc w:val="both"/>
            </w:pPr>
            <w:r>
              <w:rPr>
                <w:rFonts w:ascii="Calibri" w:hAnsi="Calibri"/>
                <w:b/>
                <w:sz w:val="24"/>
              </w:rPr>
              <w:t xml:space="preserve">4.1.3 Organisational Capability. </w:t>
            </w:r>
            <w:r>
              <w:rPr>
                <w:rFonts w:ascii="Calibri" w:hAnsi="Calibri"/>
                <w:sz w:val="24"/>
              </w:rPr>
              <w:t>The Company’s capability is supported by experienced directors, engineers, project managers, competent electrical persons, safety and health professionals, supervisors and specialist contractors. The OHSMS provides a common framework for leadership, worker consultation, hazard identification, legal compliance, competence, operational control, emergency preparedness, performance evaluation and improvement. Corporate capability shall be supported by project-specific HIRARC, method statements, permit-to-work controls, electrical safety rules, emergency response plans and client requirements.</w:t>
            </w:r>
          </w:p>
          <w:p w14:paraId="11CB5ABE" w14:textId="77777777" w:rsidR="009330D4" w:rsidRDefault="00000000">
            <w:pPr>
              <w:spacing w:after="100"/>
              <w:jc w:val="both"/>
            </w:pPr>
            <w:r>
              <w:rPr>
                <w:rFonts w:ascii="Calibri" w:hAnsi="Calibri"/>
                <w:b/>
                <w:sz w:val="24"/>
              </w:rPr>
              <w:t xml:space="preserve">4.1.4 Strategic and OHSMS Context. </w:t>
            </w:r>
            <w:r>
              <w:rPr>
                <w:rFonts w:ascii="Calibri" w:hAnsi="Calibri"/>
                <w:sz w:val="24"/>
              </w:rPr>
              <w:t xml:space="preserve">The Company shall consider how its listing status, governance obligations, market strategy, financial performance, project portfolio, organisational structure, technology, workforce capacity, contractor reliance, safety culture and geographic spread can affect the OHSMS. Top Management shall ensure that business decisions do not compromise safety-critical resources or controls and that OHSMS performance is </w:t>
            </w:r>
            <w:r>
              <w:rPr>
                <w:rFonts w:ascii="Calibri" w:hAnsi="Calibri"/>
                <w:sz w:val="24"/>
              </w:rPr>
              <w:lastRenderedPageBreak/>
              <w:t>considered during tendering, planning, acquisition, restructuring, major investment and entry into new markets or countries.</w:t>
            </w:r>
          </w:p>
        </w:tc>
        <w:tc>
          <w:tcPr>
            <w:tcW w:w="1145" w:type="dxa"/>
          </w:tcPr>
          <w:p w14:paraId="4164EB03" w14:textId="77777777" w:rsidR="009330D4" w:rsidRDefault="00000000">
            <w:pPr>
              <w:spacing w:after="60"/>
              <w:jc w:val="center"/>
            </w:pPr>
            <w:r>
              <w:rPr>
                <w:rFonts w:ascii="Calibri" w:hAnsi="Calibri"/>
                <w:sz w:val="24"/>
              </w:rPr>
              <w:lastRenderedPageBreak/>
              <w:t>MD / ED / IM</w:t>
            </w:r>
          </w:p>
        </w:tc>
        <w:tc>
          <w:tcPr>
            <w:tcW w:w="1782" w:type="dxa"/>
          </w:tcPr>
          <w:p w14:paraId="5798B093" w14:textId="77777777" w:rsidR="009330D4" w:rsidRDefault="00000000">
            <w:pPr>
              <w:spacing w:after="60"/>
              <w:jc w:val="center"/>
            </w:pPr>
            <w:r>
              <w:rPr>
                <w:rFonts w:ascii="Calibri" w:hAnsi="Calibri"/>
                <w:sz w:val="24"/>
              </w:rPr>
              <w:t>OHSMS-01; OHSMS-04B; OHSMS-04E</w:t>
            </w:r>
          </w:p>
        </w:tc>
      </w:tr>
      <w:tr w:rsidR="009330D4" w14:paraId="37748A7D" w14:textId="77777777">
        <w:trPr>
          <w:cantSplit/>
        </w:trPr>
        <w:tc>
          <w:tcPr>
            <w:tcW w:w="689" w:type="dxa"/>
          </w:tcPr>
          <w:p w14:paraId="7541E5F6" w14:textId="77777777" w:rsidR="009330D4" w:rsidRDefault="00000000">
            <w:pPr>
              <w:spacing w:after="60"/>
              <w:jc w:val="center"/>
            </w:pPr>
            <w:r>
              <w:rPr>
                <w:rFonts w:ascii="Calibri" w:hAnsi="Calibri"/>
                <w:b/>
                <w:sz w:val="24"/>
              </w:rPr>
              <w:t>2</w:t>
            </w:r>
          </w:p>
        </w:tc>
        <w:tc>
          <w:tcPr>
            <w:tcW w:w="6110" w:type="dxa"/>
          </w:tcPr>
          <w:p w14:paraId="7C1FF3D1" w14:textId="77777777" w:rsidR="009330D4" w:rsidRDefault="00000000">
            <w:pPr>
              <w:spacing w:after="60"/>
            </w:pPr>
            <w:r>
              <w:rPr>
                <w:rFonts w:ascii="Calibri" w:hAnsi="Calibri"/>
                <w:b/>
                <w:sz w:val="24"/>
              </w:rPr>
              <w:t>External and Internal Issues Affecting the Company</w:t>
            </w:r>
          </w:p>
          <w:p w14:paraId="70D99707" w14:textId="77777777" w:rsidR="009330D4" w:rsidRDefault="00000000">
            <w:pPr>
              <w:spacing w:after="100"/>
              <w:jc w:val="both"/>
            </w:pPr>
            <w:r>
              <w:rPr>
                <w:rFonts w:ascii="Calibri" w:hAnsi="Calibri"/>
                <w:b/>
                <w:sz w:val="24"/>
              </w:rPr>
              <w:t xml:space="preserve">4.1.5 Determination of Issues. </w:t>
            </w:r>
            <w:r>
              <w:rPr>
                <w:rFonts w:ascii="Calibri" w:hAnsi="Calibri"/>
                <w:sz w:val="24"/>
              </w:rPr>
              <w:t>The Company shall determine external and internal issues that are relevant to its purpose and that affect its ability to achieve the intended outcomes of the OHSMS. External issues shall be assessed using PESTLE analysis and shall include government policy, economic conditions, workforce demographics, technology, legal change, climate change, severe weather, supply-chain conditions, client requirements, community expectations and overseas country conditions. Internal issues shall be assessed using SWOT analysis and shall include governance, structure, resources, competence, culture, communication, process maturity, contractor control, technology, organisational knowledge and operational performance.</w:t>
            </w:r>
          </w:p>
          <w:p w14:paraId="6683DC5B" w14:textId="77777777" w:rsidR="009330D4" w:rsidRDefault="00000000">
            <w:pPr>
              <w:spacing w:after="100"/>
              <w:jc w:val="both"/>
            </w:pPr>
            <w:r>
              <w:rPr>
                <w:rFonts w:ascii="Calibri" w:hAnsi="Calibri"/>
                <w:b/>
                <w:sz w:val="24"/>
              </w:rPr>
              <w:t xml:space="preserve">4.1.6 Climate Change. </w:t>
            </w:r>
            <w:r>
              <w:rPr>
                <w:rFonts w:ascii="Calibri" w:hAnsi="Calibri"/>
                <w:sz w:val="24"/>
              </w:rPr>
              <w:t>In accordance with ISO 45001:2018/Amd 1:2024 the Company shall determine whether climate change is a relevant issue. The determination shall consider heat stress, intense rainfall, flooding, lightning, high winds, haze, changing weather patterns, project accessibility, equipment protection, emergency response and the health of outdoor workers. Where climate change is relevant the resulting risks and opportunities shall be addressed through HIRARC, project planning, emergency arrangements, design decisions, work-rest regimes, weather limits and business continuity measures.</w:t>
            </w:r>
          </w:p>
          <w:p w14:paraId="6BA96FCA" w14:textId="77777777" w:rsidR="009330D4" w:rsidRDefault="00000000">
            <w:pPr>
              <w:spacing w:after="100"/>
              <w:jc w:val="both"/>
            </w:pPr>
            <w:r>
              <w:rPr>
                <w:rFonts w:ascii="Calibri" w:hAnsi="Calibri"/>
                <w:b/>
                <w:sz w:val="24"/>
              </w:rPr>
              <w:t xml:space="preserve">4.1.7 Monitoring and Review. </w:t>
            </w:r>
            <w:r>
              <w:rPr>
                <w:rFonts w:ascii="Calibri" w:hAnsi="Calibri"/>
                <w:sz w:val="24"/>
              </w:rPr>
              <w:t>The ISO Manager shall coordinate review at least annually and when significant change occurs. Review triggers include new laws, a serious incident, organisational restructuring, acquisition, entry into a new sector or country, major technological change, severe weather, material supply disruption, significant client requirements or changes to strategy. The results shall be recorded in Annex B and shall be considered when reviewing the OHSMS scope, objectives, risks and opportunities, legal register, operational controls, emergency plans and management review inputs.</w:t>
            </w:r>
          </w:p>
        </w:tc>
        <w:tc>
          <w:tcPr>
            <w:tcW w:w="1145" w:type="dxa"/>
          </w:tcPr>
          <w:p w14:paraId="5E328554" w14:textId="77777777" w:rsidR="009330D4" w:rsidRDefault="00000000">
            <w:pPr>
              <w:spacing w:after="60"/>
              <w:jc w:val="center"/>
            </w:pPr>
            <w:r>
              <w:rPr>
                <w:rFonts w:ascii="Calibri" w:hAnsi="Calibri"/>
                <w:sz w:val="24"/>
              </w:rPr>
              <w:t>MD / ED / IM / HSE</w:t>
            </w:r>
          </w:p>
        </w:tc>
        <w:tc>
          <w:tcPr>
            <w:tcW w:w="1782" w:type="dxa"/>
          </w:tcPr>
          <w:p w14:paraId="5331C58D" w14:textId="77777777" w:rsidR="009330D4" w:rsidRDefault="00000000">
            <w:pPr>
              <w:spacing w:after="60"/>
              <w:jc w:val="center"/>
            </w:pPr>
            <w:r>
              <w:rPr>
                <w:rFonts w:ascii="Calibri" w:hAnsi="Calibri"/>
                <w:sz w:val="24"/>
              </w:rPr>
              <w:t>OHSMS-04B; OHSMS-06J; OHSMS-06K; OHSMS-09U</w:t>
            </w:r>
          </w:p>
        </w:tc>
      </w:tr>
      <w:tr w:rsidR="009330D4" w14:paraId="05EA5601" w14:textId="77777777">
        <w:trPr>
          <w:cantSplit/>
        </w:trPr>
        <w:tc>
          <w:tcPr>
            <w:tcW w:w="689" w:type="dxa"/>
          </w:tcPr>
          <w:p w14:paraId="0CF1B634" w14:textId="77777777" w:rsidR="009330D4" w:rsidRDefault="00000000">
            <w:pPr>
              <w:spacing w:after="60"/>
              <w:jc w:val="center"/>
            </w:pPr>
            <w:r>
              <w:rPr>
                <w:rFonts w:ascii="Calibri" w:hAnsi="Calibri"/>
                <w:b/>
                <w:sz w:val="24"/>
              </w:rPr>
              <w:lastRenderedPageBreak/>
              <w:t>3</w:t>
            </w:r>
          </w:p>
        </w:tc>
        <w:tc>
          <w:tcPr>
            <w:tcW w:w="6110" w:type="dxa"/>
          </w:tcPr>
          <w:p w14:paraId="2FE7A5BC" w14:textId="77777777" w:rsidR="009330D4" w:rsidRDefault="00000000">
            <w:pPr>
              <w:spacing w:after="60"/>
            </w:pPr>
            <w:r>
              <w:rPr>
                <w:rFonts w:ascii="Calibri" w:hAnsi="Calibri"/>
                <w:b/>
                <w:sz w:val="24"/>
              </w:rPr>
              <w:t>Needs and Expectations of Workers and Other Interested Parties</w:t>
            </w:r>
          </w:p>
          <w:p w14:paraId="64CDE3A7" w14:textId="77777777" w:rsidR="009330D4" w:rsidRDefault="00000000">
            <w:pPr>
              <w:spacing w:after="100"/>
              <w:jc w:val="both"/>
            </w:pPr>
            <w:r>
              <w:rPr>
                <w:rFonts w:ascii="Calibri" w:hAnsi="Calibri"/>
                <w:b/>
                <w:sz w:val="24"/>
              </w:rPr>
              <w:t xml:space="preserve">4.2.1 Identification of Interested Parties. </w:t>
            </w:r>
            <w:r>
              <w:rPr>
                <w:rFonts w:ascii="Calibri" w:hAnsi="Calibri"/>
                <w:sz w:val="24"/>
              </w:rPr>
              <w:t>The Company shall determine the workers and other interested parties that are relevant to the OHSMS and the needs and expectations that are or could become legal or other requirements. Relevant parties include employees, non-managerial workers, worker representatives, contractors, subcontractors, agency workers, clients, designers, consultants, suppliers, regulators, emergency services, utility owners, investors, insurers, certification bodies, local communities, building occupants, neighbours, landlords and overseas authorities.</w:t>
            </w:r>
          </w:p>
          <w:p w14:paraId="49A36D03" w14:textId="77777777" w:rsidR="009330D4" w:rsidRDefault="00000000">
            <w:pPr>
              <w:spacing w:after="100"/>
              <w:jc w:val="both"/>
            </w:pPr>
            <w:r>
              <w:rPr>
                <w:rFonts w:ascii="Calibri" w:hAnsi="Calibri"/>
                <w:b/>
                <w:sz w:val="24"/>
              </w:rPr>
              <w:t xml:space="preserve">4.2.2 Workers. </w:t>
            </w:r>
            <w:r>
              <w:rPr>
                <w:rFonts w:ascii="Calibri" w:hAnsi="Calibri"/>
                <w:sz w:val="24"/>
              </w:rPr>
              <w:t>Workers expect safe and healthy working conditions, competent supervision, suitable equipment, effective consultation, clear information, fair treatment, welfare facilities, appropriate working hours, protection from retaliation and the ability to report hazards or stop work in good faith. Their relevant needs shall be addressed through consultation and participation, HIRARC, training, permit controls, health surveillance where applicable, incident reporting, grievance or concern channels and corrective action.</w:t>
            </w:r>
          </w:p>
          <w:p w14:paraId="1D99E2C9" w14:textId="77777777" w:rsidR="009330D4" w:rsidRDefault="00000000">
            <w:pPr>
              <w:spacing w:after="100"/>
              <w:jc w:val="both"/>
            </w:pPr>
            <w:r>
              <w:rPr>
                <w:rFonts w:ascii="Calibri" w:hAnsi="Calibri"/>
                <w:b/>
                <w:sz w:val="24"/>
              </w:rPr>
              <w:t xml:space="preserve">4.2.3 Clients and Business Partners. </w:t>
            </w:r>
            <w:r>
              <w:rPr>
                <w:rFonts w:ascii="Calibri" w:hAnsi="Calibri"/>
                <w:sz w:val="24"/>
              </w:rPr>
              <w:t>Clients, consultants and joint-venture or business partners expect legal compliance, competent personnel, effective project safety planning, reliable control of high-risk work, transparent incident reporting, protection of occupied or critical facilities and compliance with contractual HSE requirements. The Company shall evaluate these requirements before contract acceptance and shall coordinate responsibilities, interfaces, emergency arrangements and reporting during execution.</w:t>
            </w:r>
          </w:p>
          <w:p w14:paraId="339DF291" w14:textId="77777777" w:rsidR="009330D4" w:rsidRDefault="00000000">
            <w:pPr>
              <w:spacing w:after="100"/>
              <w:jc w:val="both"/>
            </w:pPr>
            <w:r>
              <w:rPr>
                <w:rFonts w:ascii="Calibri" w:hAnsi="Calibri"/>
                <w:b/>
                <w:sz w:val="24"/>
              </w:rPr>
              <w:t xml:space="preserve">4.2.4 Regulators and Public Authorities. </w:t>
            </w:r>
            <w:r>
              <w:rPr>
                <w:rFonts w:ascii="Calibri" w:hAnsi="Calibri"/>
                <w:sz w:val="24"/>
              </w:rPr>
              <w:t>DOSH, Suruhanjaya Tenaga, CIDB, BOMBA, environmental authorities, local authorities and other relevant agencies expect statutory compliance, competent appointments, registrations, notifications, inspections, safe systems of work and access to required records. The Company shall monitor applicable requirements and maintain constructive communication with the relevant authorities.</w:t>
            </w:r>
          </w:p>
          <w:p w14:paraId="4D6F6B55" w14:textId="77777777" w:rsidR="009330D4" w:rsidRDefault="00000000">
            <w:pPr>
              <w:spacing w:after="100"/>
              <w:jc w:val="both"/>
            </w:pPr>
            <w:r>
              <w:rPr>
                <w:rFonts w:ascii="Calibri" w:hAnsi="Calibri"/>
                <w:b/>
                <w:sz w:val="24"/>
              </w:rPr>
              <w:t xml:space="preserve">4.2.5 Investors, Insurers and Communities. </w:t>
            </w:r>
            <w:r>
              <w:rPr>
                <w:rFonts w:ascii="Calibri" w:hAnsi="Calibri"/>
                <w:sz w:val="24"/>
              </w:rPr>
              <w:t xml:space="preserve">Investors and insurers expect effective governance, accurate disclosure of material occupational health and safety matters, protection of assets and evidence that significant risks are controlled. Communities, neighbours and building occupants expect protection from traffic, noise, dust, fire, service interruption, </w:t>
            </w:r>
            <w:r>
              <w:rPr>
                <w:rFonts w:ascii="Calibri" w:hAnsi="Calibri"/>
                <w:sz w:val="24"/>
              </w:rPr>
              <w:lastRenderedPageBreak/>
              <w:t>unauthorised access and other project impacts. Relevant expectations shall be translated into project controls, communication arrangements and performance reporting.</w:t>
            </w:r>
          </w:p>
          <w:p w14:paraId="467580BB" w14:textId="77777777" w:rsidR="009330D4" w:rsidRDefault="00000000">
            <w:pPr>
              <w:spacing w:after="100"/>
              <w:jc w:val="both"/>
            </w:pPr>
            <w:r>
              <w:rPr>
                <w:rFonts w:ascii="Calibri" w:hAnsi="Calibri"/>
                <w:b/>
                <w:sz w:val="24"/>
              </w:rPr>
              <w:t xml:space="preserve">4.2.6 Climate-Related Requirements. </w:t>
            </w:r>
            <w:r>
              <w:rPr>
                <w:rFonts w:ascii="Calibri" w:hAnsi="Calibri"/>
                <w:sz w:val="24"/>
              </w:rPr>
              <w:t>Relevant interested parties may have requirements related to climate change. The Company shall determine whether client resilience standards, investor expectations, insurer requirements, government policy or worker health needs create OHSMS obligations relating to heat, flooding, severe weather, emergency readiness, design resilience or continuity of essential services.</w:t>
            </w:r>
          </w:p>
        </w:tc>
        <w:tc>
          <w:tcPr>
            <w:tcW w:w="1145" w:type="dxa"/>
          </w:tcPr>
          <w:p w14:paraId="24D87282" w14:textId="77777777" w:rsidR="009330D4" w:rsidRDefault="00000000">
            <w:pPr>
              <w:spacing w:after="60"/>
              <w:jc w:val="center"/>
            </w:pPr>
            <w:r>
              <w:rPr>
                <w:rFonts w:ascii="Calibri" w:hAnsi="Calibri"/>
                <w:sz w:val="24"/>
              </w:rPr>
              <w:lastRenderedPageBreak/>
              <w:t>MD / IM / HSE / Process Owners</w:t>
            </w:r>
          </w:p>
        </w:tc>
        <w:tc>
          <w:tcPr>
            <w:tcW w:w="1782" w:type="dxa"/>
          </w:tcPr>
          <w:p w14:paraId="1EADA046" w14:textId="77777777" w:rsidR="009330D4" w:rsidRDefault="00000000">
            <w:pPr>
              <w:spacing w:after="60"/>
              <w:jc w:val="center"/>
            </w:pPr>
            <w:r>
              <w:rPr>
                <w:rFonts w:ascii="Calibri" w:hAnsi="Calibri"/>
                <w:sz w:val="24"/>
              </w:rPr>
              <w:t>OHSMS-04C; OHSMS-05I; OHSMS-06K</w:t>
            </w:r>
          </w:p>
        </w:tc>
      </w:tr>
      <w:tr w:rsidR="009330D4" w14:paraId="0F4CC0CA" w14:textId="77777777">
        <w:trPr>
          <w:cantSplit/>
        </w:trPr>
        <w:tc>
          <w:tcPr>
            <w:tcW w:w="689" w:type="dxa"/>
          </w:tcPr>
          <w:p w14:paraId="09F21D2A" w14:textId="77777777" w:rsidR="009330D4" w:rsidRDefault="00000000">
            <w:pPr>
              <w:spacing w:after="60"/>
              <w:jc w:val="center"/>
            </w:pPr>
            <w:r>
              <w:rPr>
                <w:rFonts w:ascii="Calibri" w:hAnsi="Calibri"/>
                <w:b/>
                <w:sz w:val="24"/>
              </w:rPr>
              <w:t>4</w:t>
            </w:r>
          </w:p>
        </w:tc>
        <w:tc>
          <w:tcPr>
            <w:tcW w:w="6110" w:type="dxa"/>
          </w:tcPr>
          <w:p w14:paraId="28557B99" w14:textId="77777777" w:rsidR="009330D4" w:rsidRDefault="00000000">
            <w:pPr>
              <w:spacing w:after="60"/>
            </w:pPr>
            <w:r>
              <w:rPr>
                <w:rFonts w:ascii="Calibri" w:hAnsi="Calibri"/>
                <w:b/>
                <w:sz w:val="24"/>
              </w:rPr>
              <w:t>Legal and Other Requirements</w:t>
            </w:r>
          </w:p>
          <w:p w14:paraId="72735DEB" w14:textId="77777777" w:rsidR="009330D4" w:rsidRDefault="00000000">
            <w:pPr>
              <w:spacing w:after="100"/>
              <w:jc w:val="both"/>
            </w:pPr>
            <w:r>
              <w:rPr>
                <w:rFonts w:ascii="Calibri" w:hAnsi="Calibri"/>
                <w:b/>
                <w:sz w:val="24"/>
              </w:rPr>
              <w:t xml:space="preserve">4.2.7 Applicable Requirements. </w:t>
            </w:r>
            <w:r>
              <w:rPr>
                <w:rFonts w:ascii="Calibri" w:hAnsi="Calibri"/>
                <w:sz w:val="24"/>
              </w:rPr>
              <w:t>The Company shall identify, access and keep current the legal and other requirements applicable to its hazards, OHS risks and OHSMS. The legal framework may include the Occupational Safety and Health Act 1994 as amended in 2022, subsidiary regulations including the Occupational Safety and Health (Construction Work) (Design and Management) Regulations 2024, the Electricity Supply Act 1990, Electricity Regulations 1994, CIDB requirements, fire-services requirements, environmental legislation, employment and social-security requirements, local authority conditions and applicable host-country laws for overseas work.</w:t>
            </w:r>
          </w:p>
          <w:p w14:paraId="4EE6E932" w14:textId="77777777" w:rsidR="009330D4" w:rsidRDefault="00000000">
            <w:pPr>
              <w:spacing w:after="100"/>
              <w:jc w:val="both"/>
            </w:pPr>
            <w:r>
              <w:rPr>
                <w:rFonts w:ascii="Calibri" w:hAnsi="Calibri"/>
                <w:b/>
                <w:sz w:val="24"/>
              </w:rPr>
              <w:t xml:space="preserve">4.2.8 Technical, Client and Corporate Requirements. </w:t>
            </w:r>
            <w:r>
              <w:rPr>
                <w:rFonts w:ascii="Calibri" w:hAnsi="Calibri"/>
                <w:sz w:val="24"/>
              </w:rPr>
              <w:t>Other requirements may arise from utility safety rules, client HSE specifications, contractual commitments, landlord or facility rules, insurance conditions, recognised engineering standards, manufacturers’ instructions and corporate policies. These requirements shall be reviewed during tendering and project planning and shall be incorporated into HIRARC, designs, method statements, permits, training, inspections and acceptance criteria.</w:t>
            </w:r>
          </w:p>
          <w:p w14:paraId="0B8D0181" w14:textId="77777777" w:rsidR="009330D4" w:rsidRDefault="00000000">
            <w:pPr>
              <w:spacing w:after="100"/>
              <w:jc w:val="both"/>
            </w:pPr>
            <w:r>
              <w:rPr>
                <w:rFonts w:ascii="Calibri" w:hAnsi="Calibri"/>
                <w:b/>
                <w:sz w:val="24"/>
              </w:rPr>
              <w:t xml:space="preserve">4.2.9 Compliance Evaluation. </w:t>
            </w:r>
            <w:r>
              <w:rPr>
                <w:rFonts w:ascii="Calibri" w:hAnsi="Calibri"/>
                <w:sz w:val="24"/>
              </w:rPr>
              <w:t>The Legal Requirements Officer and Head of HSE shall maintain the legal register, communicate applicable changes and evaluate compliance at planned intervals. Noncompliance shall be corrected without undue delay and shall be addressed through the nonconformity and corrective-action process. Significant legal changes or compliance concerns shall be reported to Top Management and considered in management review.</w:t>
            </w:r>
          </w:p>
        </w:tc>
        <w:tc>
          <w:tcPr>
            <w:tcW w:w="1145" w:type="dxa"/>
          </w:tcPr>
          <w:p w14:paraId="3B7F5947" w14:textId="77777777" w:rsidR="009330D4" w:rsidRDefault="00000000">
            <w:pPr>
              <w:spacing w:after="60"/>
              <w:jc w:val="center"/>
            </w:pPr>
            <w:r>
              <w:rPr>
                <w:rFonts w:ascii="Calibri" w:hAnsi="Calibri"/>
                <w:sz w:val="24"/>
              </w:rPr>
              <w:t>LRO / HSE / IM / PM</w:t>
            </w:r>
          </w:p>
        </w:tc>
        <w:tc>
          <w:tcPr>
            <w:tcW w:w="1782" w:type="dxa"/>
          </w:tcPr>
          <w:p w14:paraId="1F90C11A" w14:textId="77777777" w:rsidR="009330D4" w:rsidRDefault="00000000">
            <w:pPr>
              <w:spacing w:after="60"/>
              <w:jc w:val="center"/>
            </w:pPr>
            <w:r>
              <w:rPr>
                <w:rFonts w:ascii="Calibri" w:hAnsi="Calibri"/>
                <w:sz w:val="24"/>
              </w:rPr>
              <w:t>OHSMS-06K; OCS-S-PRO-03; OCS-S-REC-LR; OCS-S-REC-CER</w:t>
            </w:r>
          </w:p>
        </w:tc>
      </w:tr>
      <w:tr w:rsidR="009330D4" w14:paraId="2CC6EDA1" w14:textId="77777777">
        <w:trPr>
          <w:cantSplit/>
        </w:trPr>
        <w:tc>
          <w:tcPr>
            <w:tcW w:w="689" w:type="dxa"/>
          </w:tcPr>
          <w:p w14:paraId="0E8CBDA8" w14:textId="77777777" w:rsidR="009330D4" w:rsidRDefault="00000000">
            <w:pPr>
              <w:spacing w:after="60"/>
              <w:jc w:val="center"/>
            </w:pPr>
            <w:r>
              <w:rPr>
                <w:rFonts w:ascii="Calibri" w:hAnsi="Calibri"/>
                <w:b/>
                <w:sz w:val="24"/>
              </w:rPr>
              <w:lastRenderedPageBreak/>
              <w:t>5</w:t>
            </w:r>
          </w:p>
        </w:tc>
        <w:tc>
          <w:tcPr>
            <w:tcW w:w="6110" w:type="dxa"/>
          </w:tcPr>
          <w:p w14:paraId="48549951" w14:textId="77777777" w:rsidR="009330D4" w:rsidRDefault="00000000">
            <w:pPr>
              <w:spacing w:after="60"/>
            </w:pPr>
            <w:r>
              <w:rPr>
                <w:rFonts w:ascii="Calibri" w:hAnsi="Calibri"/>
                <w:b/>
                <w:sz w:val="24"/>
              </w:rPr>
              <w:t>OHSMS Certification Scope</w:t>
            </w:r>
          </w:p>
          <w:p w14:paraId="708A969C" w14:textId="77777777" w:rsidR="009330D4" w:rsidRDefault="00000000">
            <w:pPr>
              <w:spacing w:after="100"/>
              <w:jc w:val="both"/>
            </w:pPr>
            <w:r>
              <w:rPr>
                <w:rFonts w:ascii="Calibri" w:hAnsi="Calibri"/>
                <w:b/>
                <w:sz w:val="24"/>
              </w:rPr>
              <w:t xml:space="preserve">4.3.1 Scope Determination. </w:t>
            </w:r>
            <w:r>
              <w:rPr>
                <w:rFonts w:ascii="Calibri" w:hAnsi="Calibri"/>
                <w:sz w:val="24"/>
              </w:rPr>
              <w:t>When determining the boundaries and applicability of the OHSMS the Company shall consider the external and internal issues identified under Clause 4.1, the requirements of workers and other interested parties identified under Clause 4.2, the work-related activities that are planned or performed and the authority and ability of the Company to exercise control or influence. The scope includes corporate and support functions where their decisions affect project occupational health and safety.</w:t>
            </w:r>
          </w:p>
          <w:p w14:paraId="0FC0C4E1" w14:textId="77777777" w:rsidR="009330D4" w:rsidRDefault="00000000">
            <w:pPr>
              <w:spacing w:after="100"/>
              <w:jc w:val="both"/>
            </w:pPr>
            <w:r>
              <w:rPr>
                <w:rFonts w:ascii="Calibri" w:hAnsi="Calibri"/>
                <w:b/>
                <w:sz w:val="24"/>
              </w:rPr>
              <w:t xml:space="preserve">4.3.2 Certification Scope Statement. </w:t>
            </w:r>
            <w:r>
              <w:rPr>
                <w:rFonts w:ascii="Calibri" w:hAnsi="Calibri"/>
                <w:sz w:val="24"/>
              </w:rPr>
              <w:t>The approved certification scope is: PROVISION OF SUPPLY, INSTALLATION, MAINTENANCE AND SERVICING OF MECHANICAL AND ELECTRICAL (M&amp;E) SYSTEMS</w:t>
            </w:r>
          </w:p>
          <w:p w14:paraId="714D95EC" w14:textId="77777777" w:rsidR="009330D4" w:rsidRDefault="00000000">
            <w:pPr>
              <w:spacing w:after="100"/>
              <w:jc w:val="both"/>
            </w:pPr>
            <w:r>
              <w:rPr>
                <w:rFonts w:ascii="Calibri" w:hAnsi="Calibri"/>
                <w:b/>
                <w:sz w:val="24"/>
              </w:rPr>
              <w:t xml:space="preserve">4.3.3 Organisational and Operational Boundaries. </w:t>
            </w:r>
            <w:r>
              <w:rPr>
                <w:rFonts w:ascii="Calibri" w:hAnsi="Calibri"/>
                <w:sz w:val="24"/>
              </w:rPr>
              <w:t>The OHSMS applies to offices, project sites, workshops, stores, temporary facilities and overseas operations included within the defined scope. It covers employees and other workers whose activities are controlled by the Company and it addresses outsourced processes, contractor activities and supply-chain interfaces to the extent that the Company exercises control or influence. Project-specific client systems may supplement the OHSMS but shall not reduce the Company’s legal duties or corporate minimum controls.</w:t>
            </w:r>
          </w:p>
          <w:p w14:paraId="487D62B0" w14:textId="77777777" w:rsidR="009330D4" w:rsidRDefault="00000000">
            <w:pPr>
              <w:spacing w:after="100"/>
              <w:jc w:val="both"/>
            </w:pPr>
            <w:r>
              <w:rPr>
                <w:rFonts w:ascii="Calibri" w:hAnsi="Calibri"/>
                <w:b/>
                <w:sz w:val="24"/>
              </w:rPr>
              <w:t xml:space="preserve">4.3.4 Availability of Scope. </w:t>
            </w:r>
            <w:r>
              <w:rPr>
                <w:rFonts w:ascii="Calibri" w:hAnsi="Calibri"/>
                <w:sz w:val="24"/>
              </w:rPr>
              <w:t>The approved scope shall be maintained as documented information and made available to workers and other interested parties as appropriate. It shall be reviewed after material changes to the organisation, locations, activities, products, services, legal requirements or degree of operational control.</w:t>
            </w:r>
          </w:p>
        </w:tc>
        <w:tc>
          <w:tcPr>
            <w:tcW w:w="1145" w:type="dxa"/>
          </w:tcPr>
          <w:p w14:paraId="0D3FDFC5" w14:textId="77777777" w:rsidR="009330D4" w:rsidRDefault="00000000">
            <w:pPr>
              <w:spacing w:after="60"/>
              <w:jc w:val="center"/>
            </w:pPr>
            <w:r>
              <w:rPr>
                <w:rFonts w:ascii="Calibri" w:hAnsi="Calibri"/>
                <w:sz w:val="24"/>
              </w:rPr>
              <w:t>MD / ED / IM</w:t>
            </w:r>
          </w:p>
        </w:tc>
        <w:tc>
          <w:tcPr>
            <w:tcW w:w="1782" w:type="dxa"/>
          </w:tcPr>
          <w:p w14:paraId="66783645" w14:textId="77777777" w:rsidR="009330D4" w:rsidRDefault="00000000">
            <w:pPr>
              <w:spacing w:after="60"/>
              <w:jc w:val="center"/>
            </w:pPr>
            <w:r>
              <w:rPr>
                <w:rFonts w:ascii="Calibri" w:hAnsi="Calibri"/>
                <w:sz w:val="24"/>
              </w:rPr>
              <w:t>OHSMS-01; OHSMS-04D</w:t>
            </w:r>
          </w:p>
        </w:tc>
      </w:tr>
      <w:tr w:rsidR="009330D4" w14:paraId="6116AD70" w14:textId="77777777">
        <w:trPr>
          <w:cantSplit/>
        </w:trPr>
        <w:tc>
          <w:tcPr>
            <w:tcW w:w="689" w:type="dxa"/>
          </w:tcPr>
          <w:p w14:paraId="6696F6ED" w14:textId="77777777" w:rsidR="009330D4" w:rsidRDefault="00000000">
            <w:pPr>
              <w:spacing w:after="60"/>
              <w:jc w:val="center"/>
            </w:pPr>
            <w:r>
              <w:rPr>
                <w:rFonts w:ascii="Calibri" w:hAnsi="Calibri"/>
                <w:b/>
                <w:sz w:val="24"/>
              </w:rPr>
              <w:lastRenderedPageBreak/>
              <w:t>6</w:t>
            </w:r>
          </w:p>
        </w:tc>
        <w:tc>
          <w:tcPr>
            <w:tcW w:w="6110" w:type="dxa"/>
          </w:tcPr>
          <w:p w14:paraId="488BE034" w14:textId="77777777" w:rsidR="009330D4" w:rsidRDefault="00000000">
            <w:pPr>
              <w:spacing w:after="60"/>
            </w:pPr>
            <w:r>
              <w:rPr>
                <w:rFonts w:ascii="Calibri" w:hAnsi="Calibri"/>
                <w:b/>
                <w:sz w:val="24"/>
              </w:rPr>
              <w:t>Applicability of ISO 45001 Requirements</w:t>
            </w:r>
          </w:p>
          <w:p w14:paraId="3924F944" w14:textId="77777777" w:rsidR="009330D4" w:rsidRDefault="00000000">
            <w:pPr>
              <w:spacing w:after="100"/>
              <w:jc w:val="both"/>
            </w:pPr>
            <w:r>
              <w:rPr>
                <w:rFonts w:ascii="Calibri" w:hAnsi="Calibri"/>
                <w:b/>
                <w:sz w:val="24"/>
              </w:rPr>
              <w:t xml:space="preserve">4.3.5 Applicability. </w:t>
            </w:r>
            <w:r>
              <w:rPr>
                <w:rFonts w:ascii="Calibri" w:hAnsi="Calibri"/>
                <w:sz w:val="24"/>
              </w:rPr>
              <w:t>No requirement of MS ISO 45001:2018 is excluded where it is applicable to the activities, products, services, workers and workplaces within the defined OHSMS scope. The Company shall not use the scope to omit activities that can affect occupational health and safety performance or to avoid legal or other requirements.</w:t>
            </w:r>
          </w:p>
          <w:p w14:paraId="5A7B7F64" w14:textId="77777777" w:rsidR="009330D4" w:rsidRDefault="00000000">
            <w:pPr>
              <w:spacing w:after="100"/>
              <w:jc w:val="both"/>
            </w:pPr>
            <w:r>
              <w:rPr>
                <w:rFonts w:ascii="Calibri" w:hAnsi="Calibri"/>
                <w:b/>
                <w:sz w:val="24"/>
              </w:rPr>
              <w:t xml:space="preserve">4.3.6 Outsourced Activities. </w:t>
            </w:r>
            <w:r>
              <w:rPr>
                <w:rFonts w:ascii="Calibri" w:hAnsi="Calibri"/>
                <w:sz w:val="24"/>
              </w:rPr>
              <w:t>Procurement, design support, specialist testing, lifting, scaffolding, civil work, commissioning, maintenance and other outsourced activities remain subject to appropriate control or influence. The type and extent of control shall be determined according to risk, legal responsibility, technical complexity, contractor capability and the relationship between the Company, client and service provider.</w:t>
            </w:r>
          </w:p>
          <w:p w14:paraId="4ED3096D" w14:textId="77777777" w:rsidR="009330D4" w:rsidRDefault="00000000">
            <w:pPr>
              <w:spacing w:after="100"/>
              <w:jc w:val="both"/>
            </w:pPr>
            <w:r>
              <w:rPr>
                <w:rFonts w:ascii="Calibri" w:hAnsi="Calibri"/>
                <w:b/>
                <w:sz w:val="24"/>
              </w:rPr>
              <w:t xml:space="preserve">4.3.7 Overseas Operations. </w:t>
            </w:r>
            <w:r>
              <w:rPr>
                <w:rFonts w:ascii="Calibri" w:hAnsi="Calibri"/>
                <w:sz w:val="24"/>
              </w:rPr>
              <w:t>Overseas projects shall comply with applicable host-country requirements and client rules together with the Company’s OHSMS minimum requirements. Where requirements differ the responsible management shall determine and document the lawful standard that provides effective protection for workers and other persons who may be affected.</w:t>
            </w:r>
          </w:p>
        </w:tc>
        <w:tc>
          <w:tcPr>
            <w:tcW w:w="1145" w:type="dxa"/>
          </w:tcPr>
          <w:p w14:paraId="111D7C3B" w14:textId="77777777" w:rsidR="009330D4" w:rsidRDefault="00000000">
            <w:pPr>
              <w:spacing w:after="60"/>
              <w:jc w:val="center"/>
            </w:pPr>
            <w:r>
              <w:rPr>
                <w:rFonts w:ascii="Calibri" w:hAnsi="Calibri"/>
                <w:sz w:val="24"/>
              </w:rPr>
              <w:t>MD / ED / IM / HSE</w:t>
            </w:r>
          </w:p>
        </w:tc>
        <w:tc>
          <w:tcPr>
            <w:tcW w:w="1782" w:type="dxa"/>
          </w:tcPr>
          <w:p w14:paraId="3333B0E9" w14:textId="77777777" w:rsidR="009330D4" w:rsidRDefault="00000000">
            <w:pPr>
              <w:spacing w:after="60"/>
              <w:jc w:val="center"/>
            </w:pPr>
            <w:r>
              <w:rPr>
                <w:rFonts w:ascii="Calibri" w:hAnsi="Calibri"/>
                <w:sz w:val="24"/>
              </w:rPr>
              <w:t>OHSMS-04D; PD-S-PRO-07</w:t>
            </w:r>
          </w:p>
        </w:tc>
      </w:tr>
      <w:tr w:rsidR="009330D4" w14:paraId="22AFE8C4" w14:textId="77777777">
        <w:trPr>
          <w:cantSplit/>
        </w:trPr>
        <w:tc>
          <w:tcPr>
            <w:tcW w:w="689" w:type="dxa"/>
          </w:tcPr>
          <w:p w14:paraId="3E0896E0" w14:textId="77777777" w:rsidR="009330D4" w:rsidRDefault="00000000">
            <w:pPr>
              <w:spacing w:after="60"/>
              <w:jc w:val="center"/>
            </w:pPr>
            <w:r>
              <w:rPr>
                <w:rFonts w:ascii="Calibri" w:hAnsi="Calibri"/>
                <w:b/>
                <w:sz w:val="24"/>
              </w:rPr>
              <w:lastRenderedPageBreak/>
              <w:t>7</w:t>
            </w:r>
          </w:p>
        </w:tc>
        <w:tc>
          <w:tcPr>
            <w:tcW w:w="6110" w:type="dxa"/>
          </w:tcPr>
          <w:p w14:paraId="6A90EC82" w14:textId="77777777" w:rsidR="009330D4" w:rsidRDefault="00000000">
            <w:pPr>
              <w:spacing w:after="60"/>
            </w:pPr>
            <w:r>
              <w:rPr>
                <w:rFonts w:ascii="Calibri" w:hAnsi="Calibri"/>
                <w:b/>
                <w:sz w:val="24"/>
              </w:rPr>
              <w:t>Occupational Health and Safety Management System and Its Processes</w:t>
            </w:r>
          </w:p>
          <w:p w14:paraId="54CE2EF6" w14:textId="77777777" w:rsidR="009330D4" w:rsidRDefault="00000000">
            <w:pPr>
              <w:spacing w:after="100"/>
              <w:jc w:val="both"/>
            </w:pPr>
            <w:r>
              <w:rPr>
                <w:rFonts w:ascii="Calibri" w:hAnsi="Calibri"/>
                <w:b/>
                <w:sz w:val="24"/>
              </w:rPr>
              <w:t xml:space="preserve">4.4.1 Establishment of the OHSMS. </w:t>
            </w:r>
            <w:r>
              <w:rPr>
                <w:rFonts w:ascii="Calibri" w:hAnsi="Calibri"/>
                <w:sz w:val="24"/>
              </w:rPr>
              <w:t>The Company shall establish, implement, maintain and continually improve an OHSMS including the processes needed and their interactions in accordance with MS ISO 45001:2018. The OHSMS shall integrate leadership, worker consultation and participation, planning, support, operational control, performance evaluation and improvement into the Company’s business and project-management processes.</w:t>
            </w:r>
          </w:p>
          <w:p w14:paraId="04EC7740" w14:textId="77777777" w:rsidR="009330D4" w:rsidRDefault="00000000">
            <w:pPr>
              <w:spacing w:after="100"/>
              <w:jc w:val="both"/>
            </w:pPr>
            <w:r>
              <w:rPr>
                <w:rFonts w:ascii="Calibri" w:hAnsi="Calibri"/>
                <w:b/>
                <w:sz w:val="24"/>
              </w:rPr>
              <w:t xml:space="preserve">4.4.2 Process Inputs and Outputs. </w:t>
            </w:r>
            <w:r>
              <w:rPr>
                <w:rFonts w:ascii="Calibri" w:hAnsi="Calibri"/>
                <w:sz w:val="24"/>
              </w:rPr>
              <w:t>Inputs include context issues, interested-party requirements, legal and other requirements, tender and contract information, designs, project programmes, workforce competence, hazard information, previous performance and lessons learned. Outputs include policy and objectives, approved HIRARC, project safety plans, safe work methods, permits, competent appointments, inspection and monitoring records, emergency arrangements, incident and corrective-action records, audit results and management-review decisions.</w:t>
            </w:r>
          </w:p>
          <w:p w14:paraId="7EA78A98" w14:textId="77777777" w:rsidR="009330D4" w:rsidRDefault="00000000">
            <w:pPr>
              <w:spacing w:after="100"/>
              <w:jc w:val="both"/>
            </w:pPr>
            <w:r>
              <w:rPr>
                <w:rFonts w:ascii="Calibri" w:hAnsi="Calibri"/>
                <w:b/>
                <w:sz w:val="24"/>
              </w:rPr>
              <w:t xml:space="preserve">4.4.3 Sequence and Interaction. </w:t>
            </w:r>
            <w:r>
              <w:rPr>
                <w:rFonts w:ascii="Calibri" w:hAnsi="Calibri"/>
                <w:sz w:val="24"/>
              </w:rPr>
              <w:t>OHSMS processes interact from business development and tender review through design coordination, procurement, mobilisation, construction, installation, testing, energisation, commissioning, handover, service, maintenance and project close-out. Support processes include Human Resources, training, finance, information technology, document control, purchasing, legal compliance and corporate governance. Interfaces shall be defined in the operations process chart and relevant controlled procedures.</w:t>
            </w:r>
          </w:p>
          <w:p w14:paraId="7C7CD9D5" w14:textId="77777777" w:rsidR="009330D4" w:rsidRDefault="00000000">
            <w:pPr>
              <w:spacing w:after="100"/>
              <w:jc w:val="both"/>
            </w:pPr>
            <w:r>
              <w:rPr>
                <w:rFonts w:ascii="Calibri" w:hAnsi="Calibri"/>
                <w:b/>
                <w:sz w:val="24"/>
              </w:rPr>
              <w:t xml:space="preserve">4.4.4 Criteria and Control. </w:t>
            </w:r>
            <w:r>
              <w:rPr>
                <w:rFonts w:ascii="Calibri" w:hAnsi="Calibri"/>
                <w:sz w:val="24"/>
              </w:rPr>
              <w:t>Process owners shall determine the criteria, methods, responsibilities, resources and documented information required for effective operation and control. Controls shall reflect the hierarchy of controls and shall include competent supervision, approved equipment, work instructions, HIRARC, permit-to-work, LOTO, inspection, monitoring, emergency preparedness and management of change. Process owners shall address risks and opportunities and shall evaluate whether planned results are achieved.</w:t>
            </w:r>
          </w:p>
          <w:p w14:paraId="5CBDC0E1" w14:textId="77777777" w:rsidR="009330D4" w:rsidRDefault="00000000">
            <w:pPr>
              <w:spacing w:after="100"/>
              <w:jc w:val="both"/>
            </w:pPr>
            <w:r>
              <w:rPr>
                <w:rFonts w:ascii="Calibri" w:hAnsi="Calibri"/>
                <w:b/>
                <w:sz w:val="24"/>
              </w:rPr>
              <w:t xml:space="preserve">4.4.5 Monitoring and Improvement. </w:t>
            </w:r>
            <w:r>
              <w:rPr>
                <w:rFonts w:ascii="Calibri" w:hAnsi="Calibri"/>
                <w:sz w:val="24"/>
              </w:rPr>
              <w:t xml:space="preserve">The Company shall monitor leading and lagging indicators, legal compliance, critical-control effectiveness, worker feedback, occupational health information, incidents, project performance, audits and corrective actions. When planned results are not </w:t>
            </w:r>
            <w:r>
              <w:rPr>
                <w:rFonts w:ascii="Calibri" w:hAnsi="Calibri"/>
                <w:sz w:val="24"/>
              </w:rPr>
              <w:lastRenderedPageBreak/>
              <w:t>achieved the responsible owner shall contain the problem, investigate causes, implement corrective action and verify effectiveness. Opportunities for continual improvement shall be considered during project reviews, audits, worker consultation and management review.</w:t>
            </w:r>
          </w:p>
          <w:p w14:paraId="769D655B" w14:textId="77777777" w:rsidR="009330D4" w:rsidRDefault="00000000">
            <w:pPr>
              <w:spacing w:after="100"/>
              <w:jc w:val="both"/>
            </w:pPr>
            <w:r>
              <w:rPr>
                <w:rFonts w:ascii="Calibri" w:hAnsi="Calibri"/>
                <w:b/>
                <w:sz w:val="24"/>
              </w:rPr>
              <w:t xml:space="preserve">4.4.6 Documented Information. </w:t>
            </w:r>
            <w:r>
              <w:rPr>
                <w:rFonts w:ascii="Calibri" w:hAnsi="Calibri"/>
                <w:sz w:val="24"/>
              </w:rPr>
              <w:t>The Company shall maintain documented information necessary to support the operation of its processes and shall retain records needed to provide confidence that processes are carried out as planned. Documents and records shall be identified, approved, revision controlled, protected, accessible at points of use, retained for the required period and disposed of securely. Safety-critical drawings, switching programmes, settings, permits and isolation records shall receive enhanced verification and control.</w:t>
            </w:r>
          </w:p>
        </w:tc>
        <w:tc>
          <w:tcPr>
            <w:tcW w:w="1145" w:type="dxa"/>
          </w:tcPr>
          <w:p w14:paraId="0F464A4C" w14:textId="77777777" w:rsidR="009330D4" w:rsidRDefault="00000000">
            <w:pPr>
              <w:spacing w:after="60"/>
              <w:jc w:val="center"/>
            </w:pPr>
            <w:r>
              <w:rPr>
                <w:rFonts w:ascii="Calibri" w:hAnsi="Calibri"/>
                <w:sz w:val="24"/>
              </w:rPr>
              <w:lastRenderedPageBreak/>
              <w:t>MD / ED / IM / HSE / Process Owners</w:t>
            </w:r>
          </w:p>
        </w:tc>
        <w:tc>
          <w:tcPr>
            <w:tcW w:w="1782" w:type="dxa"/>
          </w:tcPr>
          <w:p w14:paraId="169D115D" w14:textId="77777777" w:rsidR="009330D4" w:rsidRDefault="00000000">
            <w:pPr>
              <w:spacing w:after="60"/>
              <w:jc w:val="center"/>
            </w:pPr>
            <w:r>
              <w:rPr>
                <w:rFonts w:ascii="Calibri" w:hAnsi="Calibri"/>
                <w:sz w:val="24"/>
              </w:rPr>
              <w:t>OHSMS-04E; OHSMS-07N; QSA-S-PRO-01</w:t>
            </w:r>
          </w:p>
        </w:tc>
      </w:tr>
    </w:tbl>
    <w:p w14:paraId="518161B9" w14:textId="77777777" w:rsidR="00A27FF7" w:rsidRPr="00A27FF7" w:rsidRDefault="00A27FF7" w:rsidP="00A27FF7">
      <w:pPr>
        <w:ind w:left="284"/>
        <w:rPr>
          <w:rFonts w:asciiTheme="minorHAnsi" w:hAnsiTheme="minorHAnsi" w:cstheme="minorHAnsi"/>
          <w:sz w:val="24"/>
          <w:szCs w:val="24"/>
        </w:rPr>
      </w:pPr>
    </w:p>
    <w:tbl>
      <w:tblPr>
        <w:tblStyle w:val="TableGrid"/>
        <w:tblW w:w="0" w:type="auto"/>
        <w:tblInd w:w="284" w:type="dxa"/>
        <w:tblLook w:val="04A0" w:firstRow="1" w:lastRow="0" w:firstColumn="1" w:lastColumn="0" w:noHBand="0" w:noVBand="1"/>
      </w:tblPr>
      <w:tblGrid>
        <w:gridCol w:w="4863"/>
        <w:gridCol w:w="4863"/>
      </w:tblGrid>
      <w:tr w:rsidR="00A14AB4" w14:paraId="17FB6423" w14:textId="77777777" w:rsidTr="00F37A37">
        <w:tc>
          <w:tcPr>
            <w:tcW w:w="4863" w:type="dxa"/>
          </w:tcPr>
          <w:p w14:paraId="6B8ECAB9" w14:textId="77777777" w:rsidR="009330D4" w:rsidRDefault="00000000">
            <w:pPr>
              <w:spacing w:after="60"/>
            </w:pPr>
            <w:r>
              <w:rPr>
                <w:rFonts w:ascii="Calibri" w:hAnsi="Calibri"/>
                <w:sz w:val="24"/>
              </w:rPr>
              <w:t>Verified By:</w:t>
            </w:r>
            <w:r>
              <w:rPr>
                <w:rFonts w:ascii="Calibri" w:hAnsi="Calibri"/>
                <w:sz w:val="24"/>
              </w:rPr>
              <w:br/>
              <w:t>Name: Leong Kah Ming</w:t>
            </w:r>
            <w:r>
              <w:rPr>
                <w:rFonts w:ascii="Calibri" w:hAnsi="Calibri"/>
                <w:sz w:val="24"/>
              </w:rPr>
              <w:br/>
              <w:t>Appointment: Executive Director</w:t>
            </w:r>
            <w:r>
              <w:rPr>
                <w:rFonts w:ascii="Calibri" w:hAnsi="Calibri"/>
                <w:sz w:val="24"/>
              </w:rPr>
              <w:br/>
              <w:t>Date: 01 September 2026</w:t>
            </w:r>
          </w:p>
        </w:tc>
        <w:tc>
          <w:tcPr>
            <w:tcW w:w="4863" w:type="dxa"/>
          </w:tcPr>
          <w:p w14:paraId="60041736" w14:textId="77777777" w:rsidR="009330D4" w:rsidRDefault="00000000">
            <w:pPr>
              <w:spacing w:after="60"/>
            </w:pPr>
            <w:r>
              <w:rPr>
                <w:rFonts w:ascii="Calibri" w:hAnsi="Calibri"/>
                <w:sz w:val="24"/>
              </w:rPr>
              <w:t>Approved By:</w:t>
            </w:r>
            <w:r>
              <w:rPr>
                <w:rFonts w:ascii="Calibri" w:hAnsi="Calibri"/>
                <w:sz w:val="24"/>
              </w:rPr>
              <w:br/>
              <w:t>Name: Caleb Chong Seng Kit</w:t>
            </w:r>
            <w:r>
              <w:rPr>
                <w:rFonts w:ascii="Calibri" w:hAnsi="Calibri"/>
                <w:sz w:val="24"/>
              </w:rPr>
              <w:br/>
              <w:t>Appointment: Managing Director</w:t>
            </w:r>
            <w:r>
              <w:rPr>
                <w:rFonts w:ascii="Calibri" w:hAnsi="Calibri"/>
                <w:sz w:val="24"/>
              </w:rPr>
              <w:br/>
              <w:t>Date: 01 September 2026</w:t>
            </w:r>
          </w:p>
        </w:tc>
      </w:tr>
    </w:tbl>
    <w:p w14:paraId="223D4D50" w14:textId="77777777" w:rsidR="00A27FF7" w:rsidRPr="00FB65FC" w:rsidRDefault="00A27FF7" w:rsidP="00A27FF7">
      <w:pPr>
        <w:ind w:left="284"/>
        <w:rPr>
          <w:rFonts w:asciiTheme="minorHAnsi" w:hAnsiTheme="minorHAnsi" w:cstheme="minorHAnsi"/>
          <w:sz w:val="24"/>
          <w:szCs w:val="24"/>
        </w:rPr>
      </w:pPr>
    </w:p>
    <w:p w14:paraId="24CBAB30" w14:textId="77777777" w:rsidR="00A27FF7" w:rsidRPr="00FB65FC" w:rsidRDefault="00A14AB4" w:rsidP="00A27FF7">
      <w:pPr>
        <w:ind w:left="284"/>
        <w:rPr>
          <w:rFonts w:asciiTheme="minorHAnsi" w:hAnsiTheme="minorHAnsi" w:cstheme="minorHAnsi"/>
          <w:sz w:val="24"/>
          <w:szCs w:val="24"/>
        </w:rPr>
      </w:pPr>
      <w:r>
        <w:rPr>
          <w:rFonts w:asciiTheme="minorHAnsi" w:hAnsiTheme="minorHAnsi" w:cstheme="minorHAnsi"/>
          <w:sz w:val="24"/>
          <w:szCs w:val="24"/>
        </w:rPr>
        <w:t>End</w:t>
      </w:r>
    </w:p>
    <w:sectPr w:rsidR="00A27FF7" w:rsidRPr="00FB65FC" w:rsidSect="00543B6A">
      <w:headerReference w:type="default" r:id="rId8"/>
      <w:footerReference w:type="default" r:id="rId9"/>
      <w:type w:val="continuous"/>
      <w:pgSz w:w="11900" w:h="16830"/>
      <w:pgMar w:top="640" w:right="560" w:bottom="280" w:left="1320"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F68EF" w14:textId="77777777" w:rsidR="00DC4867" w:rsidRDefault="00DC4867" w:rsidP="00A40AF5">
      <w:r>
        <w:separator/>
      </w:r>
    </w:p>
  </w:endnote>
  <w:endnote w:type="continuationSeparator" w:id="0">
    <w:p w14:paraId="0320AF6F" w14:textId="77777777" w:rsidR="00DC4867" w:rsidRDefault="00DC4867" w:rsidP="00A40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0DFFA" w14:textId="77777777" w:rsidR="009330D4" w:rsidRDefault="009330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41D99" w14:textId="77777777" w:rsidR="00DC4867" w:rsidRDefault="00DC4867" w:rsidP="00A40AF5">
      <w:r>
        <w:separator/>
      </w:r>
    </w:p>
  </w:footnote>
  <w:footnote w:type="continuationSeparator" w:id="0">
    <w:p w14:paraId="0B1480EE" w14:textId="77777777" w:rsidR="00DC4867" w:rsidRDefault="00DC4867" w:rsidP="00A40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3969"/>
      <w:gridCol w:w="1276"/>
      <w:gridCol w:w="1276"/>
      <w:gridCol w:w="1559"/>
    </w:tblGrid>
    <w:tr w:rsidR="00996DC3" w:rsidRPr="003826F5" w14:paraId="14127720" w14:textId="77777777" w:rsidTr="009E271B">
      <w:trPr>
        <w:trHeight w:val="454"/>
      </w:trPr>
      <w:tc>
        <w:tcPr>
          <w:tcW w:w="1701" w:type="dxa"/>
          <w:vMerge w:val="restart"/>
          <w:vAlign w:val="center"/>
        </w:tcPr>
        <w:p w14:paraId="77BFC8C6" w14:textId="77777777" w:rsidR="00996DC3" w:rsidRPr="008D58A6" w:rsidRDefault="00996DC3" w:rsidP="00A40AF5">
          <w:pPr>
            <w:pStyle w:val="Header"/>
            <w:jc w:val="center"/>
            <w:rPr>
              <w:sz w:val="12"/>
              <w:szCs w:val="12"/>
            </w:rPr>
          </w:pPr>
        </w:p>
        <w:p w14:paraId="138646A6" w14:textId="77777777" w:rsidR="00996DC3" w:rsidRPr="008D58A6" w:rsidRDefault="00996DC3" w:rsidP="00A40AF5">
          <w:pPr>
            <w:pStyle w:val="Header"/>
            <w:jc w:val="center"/>
            <w:rPr>
              <w:sz w:val="12"/>
              <w:szCs w:val="12"/>
            </w:rPr>
          </w:pPr>
        </w:p>
      </w:tc>
      <w:tc>
        <w:tcPr>
          <w:tcW w:w="3969" w:type="dxa"/>
          <w:vAlign w:val="center"/>
        </w:tcPr>
        <w:p w14:paraId="21510561" w14:textId="77777777" w:rsidR="00996DC3" w:rsidRPr="004706AD" w:rsidRDefault="00996DC3" w:rsidP="00A40AF5">
          <w:pPr>
            <w:pStyle w:val="Header"/>
            <w:jc w:val="center"/>
            <w:rPr>
              <w:sz w:val="16"/>
              <w:szCs w:val="16"/>
            </w:rPr>
          </w:pPr>
          <w:r>
            <w:rPr>
              <w:rFonts w:ascii="Calibri" w:hAnsi="Calibri"/>
              <w:sz w:val="24"/>
              <w:szCs w:val="16"/>
            </w:rPr>
            <w:t>OHSMS MANUAL</w:t>
          </w:r>
        </w:p>
      </w:tc>
      <w:tc>
        <w:tcPr>
          <w:tcW w:w="1276" w:type="dxa"/>
          <w:vMerge w:val="restart"/>
          <w:vAlign w:val="center"/>
        </w:tcPr>
        <w:p w14:paraId="3C48211F" w14:textId="77777777" w:rsidR="00996DC3" w:rsidRPr="001F0DC6" w:rsidRDefault="00996DC3" w:rsidP="00A40AF5">
          <w:pPr>
            <w:pStyle w:val="Header"/>
            <w:jc w:val="center"/>
            <w:rPr>
              <w:sz w:val="16"/>
              <w:szCs w:val="16"/>
            </w:rPr>
          </w:pPr>
          <w:r w:rsidRPr="001F0DC6">
            <w:rPr>
              <w:rFonts w:ascii="Calibri" w:hAnsi="Calibri"/>
              <w:sz w:val="24"/>
              <w:szCs w:val="16"/>
            </w:rPr>
            <w:t>Revision No.:</w:t>
          </w:r>
        </w:p>
        <w:p w14:paraId="362B75A8" w14:textId="77777777" w:rsidR="00996DC3" w:rsidRPr="001F0DC6" w:rsidRDefault="001162F3" w:rsidP="00A40AF5">
          <w:pPr>
            <w:pStyle w:val="Header"/>
            <w:jc w:val="center"/>
            <w:rPr>
              <w:sz w:val="16"/>
              <w:szCs w:val="16"/>
            </w:rPr>
          </w:pPr>
          <w:r>
            <w:rPr>
              <w:rFonts w:ascii="Calibri" w:hAnsi="Calibri"/>
              <w:sz w:val="24"/>
              <w:szCs w:val="16"/>
            </w:rPr>
            <w:t>0</w:t>
          </w:r>
        </w:p>
      </w:tc>
      <w:tc>
        <w:tcPr>
          <w:tcW w:w="1276" w:type="dxa"/>
          <w:vMerge w:val="restart"/>
          <w:vAlign w:val="center"/>
        </w:tcPr>
        <w:p w14:paraId="3C4D8E3D" w14:textId="77777777" w:rsidR="00996DC3" w:rsidRPr="001F0DC6" w:rsidRDefault="00996DC3" w:rsidP="00A40AF5">
          <w:pPr>
            <w:pStyle w:val="Header"/>
            <w:jc w:val="center"/>
            <w:rPr>
              <w:sz w:val="16"/>
              <w:szCs w:val="16"/>
            </w:rPr>
          </w:pPr>
          <w:r w:rsidRPr="001F0DC6">
            <w:rPr>
              <w:rFonts w:ascii="Calibri" w:hAnsi="Calibri"/>
              <w:sz w:val="24"/>
              <w:szCs w:val="16"/>
            </w:rPr>
            <w:t>Document</w:t>
          </w:r>
        </w:p>
        <w:p w14:paraId="06569CB2" w14:textId="77777777" w:rsidR="00996DC3" w:rsidRPr="001F0DC6" w:rsidRDefault="00996DC3" w:rsidP="00A40AF5">
          <w:pPr>
            <w:pStyle w:val="Header"/>
            <w:jc w:val="center"/>
            <w:rPr>
              <w:sz w:val="16"/>
              <w:szCs w:val="16"/>
            </w:rPr>
          </w:pPr>
          <w:r w:rsidRPr="001F0DC6">
            <w:rPr>
              <w:rFonts w:ascii="Calibri" w:hAnsi="Calibri"/>
              <w:sz w:val="24"/>
              <w:szCs w:val="16"/>
            </w:rPr>
            <w:t>Effective Date:</w:t>
          </w:r>
        </w:p>
        <w:p w14:paraId="43C606AC" w14:textId="77777777" w:rsidR="00996DC3" w:rsidRPr="001F0DC6" w:rsidRDefault="001162F3" w:rsidP="00A40AF5">
          <w:pPr>
            <w:pStyle w:val="Header"/>
            <w:jc w:val="center"/>
            <w:rPr>
              <w:sz w:val="16"/>
              <w:szCs w:val="16"/>
            </w:rPr>
          </w:pPr>
          <w:r>
            <w:rPr>
              <w:rFonts w:ascii="Calibri" w:hAnsi="Calibri"/>
              <w:sz w:val="24"/>
              <w:szCs w:val="16"/>
            </w:rPr>
            <w:t>01 Sept</w:t>
          </w:r>
          <w:r w:rsidR="00BF04E2" w:rsidRPr="001F0DC6">
            <w:rPr>
              <w:rFonts w:ascii="Calibri" w:hAnsi="Calibri"/>
              <w:sz w:val="24"/>
              <w:szCs w:val="16"/>
            </w:rPr>
            <w:t xml:space="preserve"> 202</w:t>
          </w:r>
          <w:r w:rsidR="000F277C" w:rsidRPr="001F0DC6">
            <w:rPr>
              <w:rFonts w:ascii="Calibri" w:hAnsi="Calibri"/>
              <w:sz w:val="24"/>
              <w:szCs w:val="16"/>
            </w:rPr>
            <w:t>6</w:t>
          </w:r>
        </w:p>
      </w:tc>
      <w:tc>
        <w:tcPr>
          <w:tcW w:w="1559" w:type="dxa"/>
          <w:vAlign w:val="center"/>
        </w:tcPr>
        <w:p w14:paraId="1EFABC31" w14:textId="77777777" w:rsidR="00996DC3" w:rsidRPr="004706AD" w:rsidRDefault="00996DC3" w:rsidP="00A40AF5">
          <w:pPr>
            <w:pStyle w:val="Header"/>
            <w:jc w:val="center"/>
            <w:rPr>
              <w:sz w:val="16"/>
              <w:szCs w:val="16"/>
            </w:rPr>
          </w:pPr>
          <w:r w:rsidRPr="004706AD">
            <w:rPr>
              <w:rFonts w:ascii="Calibri" w:hAnsi="Calibri"/>
              <w:sz w:val="24"/>
              <w:szCs w:val="16"/>
            </w:rPr>
            <w:t xml:space="preserve">Page </w:t>
          </w:r>
          <w:r>
            <w:rPr>
              <w:rStyle w:val="PageNumber"/>
              <w:rFonts w:ascii="Calibri" w:hAnsi="Calibri"/>
              <w:sz w:val="24"/>
              <w:szCs w:val="16"/>
            </w:rPr>
            <w:t>1</w:t>
          </w:r>
          <w:r w:rsidRPr="004706AD">
            <w:rPr>
              <w:rStyle w:val="PageNumber"/>
              <w:rFonts w:ascii="Calibri" w:hAnsi="Calibri"/>
              <w:sz w:val="24"/>
              <w:szCs w:val="16"/>
            </w:rPr>
            <w:t xml:space="preserve"> of </w:t>
          </w:r>
          <w:r>
            <w:rPr>
              <w:rStyle w:val="PageNumber"/>
              <w:rFonts w:ascii="Calibri" w:hAnsi="Calibri"/>
              <w:sz w:val="24"/>
              <w:szCs w:val="16"/>
            </w:rPr>
            <w:t>1</w:t>
          </w:r>
        </w:p>
      </w:tc>
    </w:tr>
    <w:tr w:rsidR="00996DC3" w:rsidRPr="003826F5" w14:paraId="47E653B3" w14:textId="77777777" w:rsidTr="009E271B">
      <w:trPr>
        <w:trHeight w:val="454"/>
      </w:trPr>
      <w:tc>
        <w:tcPr>
          <w:tcW w:w="1701" w:type="dxa"/>
          <w:vMerge/>
          <w:vAlign w:val="center"/>
        </w:tcPr>
        <w:p w14:paraId="2370B981" w14:textId="77777777" w:rsidR="00996DC3" w:rsidRPr="008D58A6" w:rsidRDefault="00996DC3" w:rsidP="00A40AF5">
          <w:pPr>
            <w:pStyle w:val="Header"/>
            <w:rPr>
              <w:sz w:val="12"/>
              <w:szCs w:val="12"/>
            </w:rPr>
          </w:pPr>
        </w:p>
      </w:tc>
      <w:tc>
        <w:tcPr>
          <w:tcW w:w="3969" w:type="dxa"/>
          <w:vAlign w:val="center"/>
        </w:tcPr>
        <w:p w14:paraId="36894A27" w14:textId="77777777" w:rsidR="00996DC3" w:rsidRPr="004706AD" w:rsidRDefault="00D55CEF" w:rsidP="00B511C9">
          <w:pPr>
            <w:pStyle w:val="Header"/>
            <w:jc w:val="center"/>
            <w:rPr>
              <w:b/>
              <w:sz w:val="20"/>
              <w:szCs w:val="20"/>
            </w:rPr>
          </w:pPr>
          <w:r>
            <w:rPr>
              <w:rFonts w:ascii="Calibri" w:hAnsi="Calibri"/>
              <w:b/>
              <w:sz w:val="24"/>
              <w:szCs w:val="20"/>
            </w:rPr>
            <w:t>Context Of Organization</w:t>
          </w:r>
        </w:p>
      </w:tc>
      <w:tc>
        <w:tcPr>
          <w:tcW w:w="1276" w:type="dxa"/>
          <w:vMerge/>
          <w:vAlign w:val="center"/>
        </w:tcPr>
        <w:p w14:paraId="4BEE8E2A" w14:textId="77777777" w:rsidR="00996DC3" w:rsidRPr="004706AD" w:rsidRDefault="00996DC3" w:rsidP="00A40AF5">
          <w:pPr>
            <w:pStyle w:val="Header"/>
            <w:jc w:val="center"/>
            <w:rPr>
              <w:sz w:val="16"/>
              <w:szCs w:val="16"/>
            </w:rPr>
          </w:pPr>
        </w:p>
      </w:tc>
      <w:tc>
        <w:tcPr>
          <w:tcW w:w="1276" w:type="dxa"/>
          <w:vMerge/>
        </w:tcPr>
        <w:p w14:paraId="19D0AC7D" w14:textId="77777777" w:rsidR="00996DC3" w:rsidRPr="004706AD" w:rsidRDefault="00996DC3" w:rsidP="00A40AF5">
          <w:pPr>
            <w:pStyle w:val="Header"/>
            <w:jc w:val="center"/>
            <w:rPr>
              <w:sz w:val="16"/>
              <w:szCs w:val="16"/>
            </w:rPr>
          </w:pPr>
        </w:p>
      </w:tc>
      <w:tc>
        <w:tcPr>
          <w:tcW w:w="1559" w:type="dxa"/>
          <w:vAlign w:val="center"/>
        </w:tcPr>
        <w:p w14:paraId="7575F8F8" w14:textId="77777777" w:rsidR="00996DC3" w:rsidRPr="004706AD" w:rsidRDefault="00996DC3" w:rsidP="00A40AF5">
          <w:pPr>
            <w:pStyle w:val="Header"/>
            <w:jc w:val="center"/>
            <w:rPr>
              <w:sz w:val="16"/>
              <w:szCs w:val="16"/>
            </w:rPr>
          </w:pPr>
          <w:r w:rsidRPr="004706AD">
            <w:rPr>
              <w:rFonts w:ascii="Calibri" w:hAnsi="Calibri"/>
              <w:sz w:val="24"/>
              <w:szCs w:val="16"/>
            </w:rPr>
            <w:t>Document Ref:</w:t>
          </w:r>
        </w:p>
        <w:p w14:paraId="49DD3FD3" w14:textId="77777777" w:rsidR="00996DC3" w:rsidRPr="004706AD" w:rsidRDefault="001162F3" w:rsidP="00A40AF5">
          <w:pPr>
            <w:pStyle w:val="Header"/>
            <w:jc w:val="center"/>
            <w:rPr>
              <w:sz w:val="16"/>
              <w:szCs w:val="16"/>
            </w:rPr>
          </w:pPr>
          <w:r>
            <w:rPr>
              <w:rFonts w:ascii="Calibri" w:hAnsi="Calibri"/>
              <w:sz w:val="24"/>
              <w:szCs w:val="16"/>
            </w:rPr>
            <w:t>OHSMS-04</w:t>
          </w:r>
        </w:p>
      </w:tc>
    </w:tr>
  </w:tbl>
  <w:p w14:paraId="6A25CFE5" w14:textId="77777777" w:rsidR="00A40AF5" w:rsidRDefault="00A40AF5" w:rsidP="00A40AF5">
    <w:pPr>
      <w:pStyle w:val="Header"/>
      <w:tabs>
        <w:tab w:val="clear" w:pos="9026"/>
        <w:tab w:val="right" w:pos="102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30F6F"/>
    <w:multiLevelType w:val="multilevel"/>
    <w:tmpl w:val="A3E8A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4D693B"/>
    <w:multiLevelType w:val="hybridMultilevel"/>
    <w:tmpl w:val="FBF48568"/>
    <w:lvl w:ilvl="0" w:tplc="CB24B58A">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322C05F9"/>
    <w:multiLevelType w:val="hybridMultilevel"/>
    <w:tmpl w:val="683E922E"/>
    <w:lvl w:ilvl="0" w:tplc="6526BB70">
      <w:start w:val="1"/>
      <w:numFmt w:val="decimal"/>
      <w:lvlText w:val="(%1)"/>
      <w:lvlJc w:val="left"/>
      <w:pPr>
        <w:ind w:left="720" w:hanging="360"/>
      </w:pPr>
      <w:rPr>
        <w:rFonts w:hint="default"/>
        <w:u w:val="single"/>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336E4C00"/>
    <w:multiLevelType w:val="hybridMultilevel"/>
    <w:tmpl w:val="50E85774"/>
    <w:lvl w:ilvl="0" w:tplc="35E62C70">
      <w:start w:val="4"/>
      <w:numFmt w:val="bullet"/>
      <w:lvlText w:val=""/>
      <w:lvlJc w:val="left"/>
      <w:pPr>
        <w:ind w:left="820" w:hanging="360"/>
      </w:pPr>
      <w:rPr>
        <w:rFonts w:ascii="Symbol" w:eastAsia="Arial" w:hAnsi="Symbol" w:cstheme="minorHAnsi" w:hint="default"/>
      </w:rPr>
    </w:lvl>
    <w:lvl w:ilvl="1" w:tplc="44090003" w:tentative="1">
      <w:start w:val="1"/>
      <w:numFmt w:val="bullet"/>
      <w:lvlText w:val="o"/>
      <w:lvlJc w:val="left"/>
      <w:pPr>
        <w:ind w:left="1540" w:hanging="360"/>
      </w:pPr>
      <w:rPr>
        <w:rFonts w:ascii="Courier New" w:hAnsi="Courier New" w:cs="Courier New" w:hint="default"/>
      </w:rPr>
    </w:lvl>
    <w:lvl w:ilvl="2" w:tplc="44090005" w:tentative="1">
      <w:start w:val="1"/>
      <w:numFmt w:val="bullet"/>
      <w:lvlText w:val=""/>
      <w:lvlJc w:val="left"/>
      <w:pPr>
        <w:ind w:left="2260" w:hanging="360"/>
      </w:pPr>
      <w:rPr>
        <w:rFonts w:ascii="Wingdings" w:hAnsi="Wingdings" w:hint="default"/>
      </w:rPr>
    </w:lvl>
    <w:lvl w:ilvl="3" w:tplc="44090001" w:tentative="1">
      <w:start w:val="1"/>
      <w:numFmt w:val="bullet"/>
      <w:lvlText w:val=""/>
      <w:lvlJc w:val="left"/>
      <w:pPr>
        <w:ind w:left="2980" w:hanging="360"/>
      </w:pPr>
      <w:rPr>
        <w:rFonts w:ascii="Symbol" w:hAnsi="Symbol" w:hint="default"/>
      </w:rPr>
    </w:lvl>
    <w:lvl w:ilvl="4" w:tplc="44090003" w:tentative="1">
      <w:start w:val="1"/>
      <w:numFmt w:val="bullet"/>
      <w:lvlText w:val="o"/>
      <w:lvlJc w:val="left"/>
      <w:pPr>
        <w:ind w:left="3700" w:hanging="360"/>
      </w:pPr>
      <w:rPr>
        <w:rFonts w:ascii="Courier New" w:hAnsi="Courier New" w:cs="Courier New" w:hint="default"/>
      </w:rPr>
    </w:lvl>
    <w:lvl w:ilvl="5" w:tplc="44090005" w:tentative="1">
      <w:start w:val="1"/>
      <w:numFmt w:val="bullet"/>
      <w:lvlText w:val=""/>
      <w:lvlJc w:val="left"/>
      <w:pPr>
        <w:ind w:left="4420" w:hanging="360"/>
      </w:pPr>
      <w:rPr>
        <w:rFonts w:ascii="Wingdings" w:hAnsi="Wingdings" w:hint="default"/>
      </w:rPr>
    </w:lvl>
    <w:lvl w:ilvl="6" w:tplc="44090001" w:tentative="1">
      <w:start w:val="1"/>
      <w:numFmt w:val="bullet"/>
      <w:lvlText w:val=""/>
      <w:lvlJc w:val="left"/>
      <w:pPr>
        <w:ind w:left="5140" w:hanging="360"/>
      </w:pPr>
      <w:rPr>
        <w:rFonts w:ascii="Symbol" w:hAnsi="Symbol" w:hint="default"/>
      </w:rPr>
    </w:lvl>
    <w:lvl w:ilvl="7" w:tplc="44090003" w:tentative="1">
      <w:start w:val="1"/>
      <w:numFmt w:val="bullet"/>
      <w:lvlText w:val="o"/>
      <w:lvlJc w:val="left"/>
      <w:pPr>
        <w:ind w:left="5860" w:hanging="360"/>
      </w:pPr>
      <w:rPr>
        <w:rFonts w:ascii="Courier New" w:hAnsi="Courier New" w:cs="Courier New" w:hint="default"/>
      </w:rPr>
    </w:lvl>
    <w:lvl w:ilvl="8" w:tplc="44090005" w:tentative="1">
      <w:start w:val="1"/>
      <w:numFmt w:val="bullet"/>
      <w:lvlText w:val=""/>
      <w:lvlJc w:val="left"/>
      <w:pPr>
        <w:ind w:left="6580" w:hanging="360"/>
      </w:pPr>
      <w:rPr>
        <w:rFonts w:ascii="Wingdings" w:hAnsi="Wingdings" w:hint="default"/>
      </w:rPr>
    </w:lvl>
  </w:abstractNum>
  <w:abstractNum w:abstractNumId="4" w15:restartNumberingAfterBreak="0">
    <w:nsid w:val="643A60AB"/>
    <w:multiLevelType w:val="hybridMultilevel"/>
    <w:tmpl w:val="44E2E9FE"/>
    <w:lvl w:ilvl="0" w:tplc="A918934C">
      <w:start w:val="4"/>
      <w:numFmt w:val="bullet"/>
      <w:lvlText w:val="-"/>
      <w:lvlJc w:val="left"/>
      <w:pPr>
        <w:ind w:left="820" w:hanging="360"/>
      </w:pPr>
      <w:rPr>
        <w:rFonts w:ascii="Calibri" w:eastAsia="Arial" w:hAnsi="Calibri" w:cs="Calibri" w:hint="default"/>
      </w:rPr>
    </w:lvl>
    <w:lvl w:ilvl="1" w:tplc="44090003" w:tentative="1">
      <w:start w:val="1"/>
      <w:numFmt w:val="bullet"/>
      <w:lvlText w:val="o"/>
      <w:lvlJc w:val="left"/>
      <w:pPr>
        <w:ind w:left="1540" w:hanging="360"/>
      </w:pPr>
      <w:rPr>
        <w:rFonts w:ascii="Courier New" w:hAnsi="Courier New" w:cs="Courier New" w:hint="default"/>
      </w:rPr>
    </w:lvl>
    <w:lvl w:ilvl="2" w:tplc="44090005" w:tentative="1">
      <w:start w:val="1"/>
      <w:numFmt w:val="bullet"/>
      <w:lvlText w:val=""/>
      <w:lvlJc w:val="left"/>
      <w:pPr>
        <w:ind w:left="2260" w:hanging="360"/>
      </w:pPr>
      <w:rPr>
        <w:rFonts w:ascii="Wingdings" w:hAnsi="Wingdings" w:hint="default"/>
      </w:rPr>
    </w:lvl>
    <w:lvl w:ilvl="3" w:tplc="44090001" w:tentative="1">
      <w:start w:val="1"/>
      <w:numFmt w:val="bullet"/>
      <w:lvlText w:val=""/>
      <w:lvlJc w:val="left"/>
      <w:pPr>
        <w:ind w:left="2980" w:hanging="360"/>
      </w:pPr>
      <w:rPr>
        <w:rFonts w:ascii="Symbol" w:hAnsi="Symbol" w:hint="default"/>
      </w:rPr>
    </w:lvl>
    <w:lvl w:ilvl="4" w:tplc="44090003" w:tentative="1">
      <w:start w:val="1"/>
      <w:numFmt w:val="bullet"/>
      <w:lvlText w:val="o"/>
      <w:lvlJc w:val="left"/>
      <w:pPr>
        <w:ind w:left="3700" w:hanging="360"/>
      </w:pPr>
      <w:rPr>
        <w:rFonts w:ascii="Courier New" w:hAnsi="Courier New" w:cs="Courier New" w:hint="default"/>
      </w:rPr>
    </w:lvl>
    <w:lvl w:ilvl="5" w:tplc="44090005" w:tentative="1">
      <w:start w:val="1"/>
      <w:numFmt w:val="bullet"/>
      <w:lvlText w:val=""/>
      <w:lvlJc w:val="left"/>
      <w:pPr>
        <w:ind w:left="4420" w:hanging="360"/>
      </w:pPr>
      <w:rPr>
        <w:rFonts w:ascii="Wingdings" w:hAnsi="Wingdings" w:hint="default"/>
      </w:rPr>
    </w:lvl>
    <w:lvl w:ilvl="6" w:tplc="44090001" w:tentative="1">
      <w:start w:val="1"/>
      <w:numFmt w:val="bullet"/>
      <w:lvlText w:val=""/>
      <w:lvlJc w:val="left"/>
      <w:pPr>
        <w:ind w:left="5140" w:hanging="360"/>
      </w:pPr>
      <w:rPr>
        <w:rFonts w:ascii="Symbol" w:hAnsi="Symbol" w:hint="default"/>
      </w:rPr>
    </w:lvl>
    <w:lvl w:ilvl="7" w:tplc="44090003" w:tentative="1">
      <w:start w:val="1"/>
      <w:numFmt w:val="bullet"/>
      <w:lvlText w:val="o"/>
      <w:lvlJc w:val="left"/>
      <w:pPr>
        <w:ind w:left="5860" w:hanging="360"/>
      </w:pPr>
      <w:rPr>
        <w:rFonts w:ascii="Courier New" w:hAnsi="Courier New" w:cs="Courier New" w:hint="default"/>
      </w:rPr>
    </w:lvl>
    <w:lvl w:ilvl="8" w:tplc="44090005" w:tentative="1">
      <w:start w:val="1"/>
      <w:numFmt w:val="bullet"/>
      <w:lvlText w:val=""/>
      <w:lvlJc w:val="left"/>
      <w:pPr>
        <w:ind w:left="6580" w:hanging="360"/>
      </w:pPr>
      <w:rPr>
        <w:rFonts w:ascii="Wingdings" w:hAnsi="Wingdings" w:hint="default"/>
      </w:rPr>
    </w:lvl>
  </w:abstractNum>
  <w:num w:numId="1" w16cid:durableId="1097794686">
    <w:abstractNumId w:val="0"/>
  </w:num>
  <w:num w:numId="2" w16cid:durableId="66609932">
    <w:abstractNumId w:val="3"/>
  </w:num>
  <w:num w:numId="3" w16cid:durableId="324211344">
    <w:abstractNumId w:val="4"/>
  </w:num>
  <w:num w:numId="4" w16cid:durableId="1367439976">
    <w:abstractNumId w:val="2"/>
  </w:num>
  <w:num w:numId="5" w16cid:durableId="1478953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608"/>
    <w:rsid w:val="00002433"/>
    <w:rsid w:val="000060E3"/>
    <w:rsid w:val="000145C1"/>
    <w:rsid w:val="00057B9F"/>
    <w:rsid w:val="0008223B"/>
    <w:rsid w:val="000B0026"/>
    <w:rsid w:val="000B439F"/>
    <w:rsid w:val="000D769D"/>
    <w:rsid w:val="000F277C"/>
    <w:rsid w:val="00101214"/>
    <w:rsid w:val="001162F3"/>
    <w:rsid w:val="001605D0"/>
    <w:rsid w:val="001C1659"/>
    <w:rsid w:val="001C75A3"/>
    <w:rsid w:val="001E1402"/>
    <w:rsid w:val="001F0DC6"/>
    <w:rsid w:val="00210952"/>
    <w:rsid w:val="00242322"/>
    <w:rsid w:val="00242F93"/>
    <w:rsid w:val="002A50C5"/>
    <w:rsid w:val="002A604F"/>
    <w:rsid w:val="002C387E"/>
    <w:rsid w:val="002C4138"/>
    <w:rsid w:val="002C7123"/>
    <w:rsid w:val="00301F58"/>
    <w:rsid w:val="00334A2F"/>
    <w:rsid w:val="00375825"/>
    <w:rsid w:val="0038400E"/>
    <w:rsid w:val="00384087"/>
    <w:rsid w:val="003966A3"/>
    <w:rsid w:val="003A7F7E"/>
    <w:rsid w:val="003B64AC"/>
    <w:rsid w:val="003C5D4C"/>
    <w:rsid w:val="003E0B84"/>
    <w:rsid w:val="003F2446"/>
    <w:rsid w:val="004221D2"/>
    <w:rsid w:val="00440F01"/>
    <w:rsid w:val="004537E2"/>
    <w:rsid w:val="004A03A7"/>
    <w:rsid w:val="004B0B7C"/>
    <w:rsid w:val="004B745D"/>
    <w:rsid w:val="004F6B38"/>
    <w:rsid w:val="00511CFA"/>
    <w:rsid w:val="00543B6A"/>
    <w:rsid w:val="0054410A"/>
    <w:rsid w:val="005608FE"/>
    <w:rsid w:val="0056668A"/>
    <w:rsid w:val="005859CB"/>
    <w:rsid w:val="005F13C1"/>
    <w:rsid w:val="005F2CE3"/>
    <w:rsid w:val="00647DD9"/>
    <w:rsid w:val="006649C5"/>
    <w:rsid w:val="00695534"/>
    <w:rsid w:val="006A72FC"/>
    <w:rsid w:val="006E40F2"/>
    <w:rsid w:val="006E5131"/>
    <w:rsid w:val="006E5FC4"/>
    <w:rsid w:val="0071590C"/>
    <w:rsid w:val="00724F5F"/>
    <w:rsid w:val="007559E3"/>
    <w:rsid w:val="007571EF"/>
    <w:rsid w:val="00777622"/>
    <w:rsid w:val="007914E0"/>
    <w:rsid w:val="00794D3A"/>
    <w:rsid w:val="007A4033"/>
    <w:rsid w:val="007B30C7"/>
    <w:rsid w:val="007C4EFB"/>
    <w:rsid w:val="00806EB6"/>
    <w:rsid w:val="0082561F"/>
    <w:rsid w:val="00825655"/>
    <w:rsid w:val="008305DB"/>
    <w:rsid w:val="008312C1"/>
    <w:rsid w:val="00872608"/>
    <w:rsid w:val="008858C4"/>
    <w:rsid w:val="0089213C"/>
    <w:rsid w:val="008A30A4"/>
    <w:rsid w:val="008F6BF3"/>
    <w:rsid w:val="00922309"/>
    <w:rsid w:val="009330D4"/>
    <w:rsid w:val="00956875"/>
    <w:rsid w:val="0096565A"/>
    <w:rsid w:val="009961D3"/>
    <w:rsid w:val="00996DC3"/>
    <w:rsid w:val="009D645F"/>
    <w:rsid w:val="009E271B"/>
    <w:rsid w:val="009E3C35"/>
    <w:rsid w:val="009F0D06"/>
    <w:rsid w:val="009F5F12"/>
    <w:rsid w:val="00A102A0"/>
    <w:rsid w:val="00A14AB4"/>
    <w:rsid w:val="00A2662A"/>
    <w:rsid w:val="00A27FF7"/>
    <w:rsid w:val="00A3248F"/>
    <w:rsid w:val="00A34B68"/>
    <w:rsid w:val="00A407DD"/>
    <w:rsid w:val="00A40AF5"/>
    <w:rsid w:val="00A82BD3"/>
    <w:rsid w:val="00A9152E"/>
    <w:rsid w:val="00A949E8"/>
    <w:rsid w:val="00AB1A96"/>
    <w:rsid w:val="00B22466"/>
    <w:rsid w:val="00B36BCB"/>
    <w:rsid w:val="00B454B3"/>
    <w:rsid w:val="00B511C9"/>
    <w:rsid w:val="00B76EDE"/>
    <w:rsid w:val="00BA1D34"/>
    <w:rsid w:val="00BA5F3F"/>
    <w:rsid w:val="00BA7E83"/>
    <w:rsid w:val="00BE5C9F"/>
    <w:rsid w:val="00BF04E2"/>
    <w:rsid w:val="00BF2EA8"/>
    <w:rsid w:val="00C2728F"/>
    <w:rsid w:val="00C72671"/>
    <w:rsid w:val="00CC2A16"/>
    <w:rsid w:val="00CF13E8"/>
    <w:rsid w:val="00CF664F"/>
    <w:rsid w:val="00CF6913"/>
    <w:rsid w:val="00D01FAE"/>
    <w:rsid w:val="00D07D25"/>
    <w:rsid w:val="00D122A9"/>
    <w:rsid w:val="00D173BF"/>
    <w:rsid w:val="00D36789"/>
    <w:rsid w:val="00D43394"/>
    <w:rsid w:val="00D55CEF"/>
    <w:rsid w:val="00D860B7"/>
    <w:rsid w:val="00DC26F9"/>
    <w:rsid w:val="00DC4867"/>
    <w:rsid w:val="00DD17F6"/>
    <w:rsid w:val="00DD29E3"/>
    <w:rsid w:val="00E00E15"/>
    <w:rsid w:val="00E026BD"/>
    <w:rsid w:val="00E10028"/>
    <w:rsid w:val="00E6113A"/>
    <w:rsid w:val="00E90B82"/>
    <w:rsid w:val="00E92634"/>
    <w:rsid w:val="00E94B82"/>
    <w:rsid w:val="00E9722E"/>
    <w:rsid w:val="00EA216B"/>
    <w:rsid w:val="00EB59EC"/>
    <w:rsid w:val="00EC1CB1"/>
    <w:rsid w:val="00EE0BB3"/>
    <w:rsid w:val="00EE4E3F"/>
    <w:rsid w:val="00F035D0"/>
    <w:rsid w:val="00F061E9"/>
    <w:rsid w:val="00F254BE"/>
    <w:rsid w:val="00F51E23"/>
    <w:rsid w:val="00F527F8"/>
    <w:rsid w:val="00F65F62"/>
    <w:rsid w:val="00F84608"/>
    <w:rsid w:val="00FB65FC"/>
    <w:rsid w:val="00FC0D74"/>
    <w:rsid w:val="00FD7A46"/>
    <w:rsid w:val="00FE0120"/>
    <w:rsid w:val="00FE471D"/>
    <w:rsid w:val="00FE5AE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ABFC2"/>
  <w15:docId w15:val="{7813C45F-0747-4FB6-B0FE-EE070D94E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04"/>
      <w:outlineLvl w:val="0"/>
    </w:pPr>
    <w:rPr>
      <w:b/>
      <w:bCs/>
      <w:u w:val="single" w:color="000000"/>
    </w:rPr>
  </w:style>
  <w:style w:type="paragraph" w:styleId="Heading5">
    <w:name w:val="heading 5"/>
    <w:basedOn w:val="Normal"/>
    <w:next w:val="Normal"/>
    <w:link w:val="Heading5Char"/>
    <w:uiPriority w:val="9"/>
    <w:semiHidden/>
    <w:unhideWhenUsed/>
    <w:qFormat/>
    <w:rsid w:val="002C4138"/>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40AF5"/>
    <w:pPr>
      <w:tabs>
        <w:tab w:val="center" w:pos="4513"/>
        <w:tab w:val="right" w:pos="9026"/>
      </w:tabs>
    </w:pPr>
  </w:style>
  <w:style w:type="character" w:customStyle="1" w:styleId="HeaderChar">
    <w:name w:val="Header Char"/>
    <w:basedOn w:val="DefaultParagraphFont"/>
    <w:link w:val="Header"/>
    <w:uiPriority w:val="99"/>
    <w:rsid w:val="00A40AF5"/>
    <w:rPr>
      <w:rFonts w:ascii="Arial" w:eastAsia="Arial" w:hAnsi="Arial" w:cs="Arial"/>
    </w:rPr>
  </w:style>
  <w:style w:type="paragraph" w:styleId="Footer">
    <w:name w:val="footer"/>
    <w:basedOn w:val="Normal"/>
    <w:link w:val="FooterChar"/>
    <w:uiPriority w:val="99"/>
    <w:unhideWhenUsed/>
    <w:rsid w:val="00A40AF5"/>
    <w:pPr>
      <w:tabs>
        <w:tab w:val="center" w:pos="4513"/>
        <w:tab w:val="right" w:pos="9026"/>
      </w:tabs>
    </w:pPr>
  </w:style>
  <w:style w:type="character" w:customStyle="1" w:styleId="FooterChar">
    <w:name w:val="Footer Char"/>
    <w:basedOn w:val="DefaultParagraphFont"/>
    <w:link w:val="Footer"/>
    <w:uiPriority w:val="99"/>
    <w:rsid w:val="00A40AF5"/>
    <w:rPr>
      <w:rFonts w:ascii="Arial" w:eastAsia="Arial" w:hAnsi="Arial" w:cs="Arial"/>
    </w:rPr>
  </w:style>
  <w:style w:type="character" w:styleId="PageNumber">
    <w:name w:val="page number"/>
    <w:basedOn w:val="DefaultParagraphFont"/>
    <w:rsid w:val="00A40AF5"/>
  </w:style>
  <w:style w:type="table" w:styleId="TableGrid">
    <w:name w:val="Table Grid"/>
    <w:basedOn w:val="TableNormal"/>
    <w:uiPriority w:val="59"/>
    <w:rsid w:val="001E1402"/>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5655"/>
    <w:rPr>
      <w:color w:val="0000FF" w:themeColor="hyperlink"/>
      <w:u w:val="single"/>
    </w:rPr>
  </w:style>
  <w:style w:type="character" w:styleId="UnresolvedMention">
    <w:name w:val="Unresolved Mention"/>
    <w:basedOn w:val="DefaultParagraphFont"/>
    <w:uiPriority w:val="99"/>
    <w:semiHidden/>
    <w:unhideWhenUsed/>
    <w:rsid w:val="00825655"/>
    <w:rPr>
      <w:color w:val="605E5C"/>
      <w:shd w:val="clear" w:color="auto" w:fill="E1DFDD"/>
    </w:rPr>
  </w:style>
  <w:style w:type="character" w:customStyle="1" w:styleId="Heading5Char">
    <w:name w:val="Heading 5 Char"/>
    <w:basedOn w:val="DefaultParagraphFont"/>
    <w:link w:val="Heading5"/>
    <w:uiPriority w:val="9"/>
    <w:semiHidden/>
    <w:rsid w:val="002C4138"/>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39777">
      <w:bodyDiv w:val="1"/>
      <w:marLeft w:val="0"/>
      <w:marRight w:val="0"/>
      <w:marTop w:val="0"/>
      <w:marBottom w:val="0"/>
      <w:divBdr>
        <w:top w:val="none" w:sz="0" w:space="0" w:color="auto"/>
        <w:left w:val="none" w:sz="0" w:space="0" w:color="auto"/>
        <w:bottom w:val="none" w:sz="0" w:space="0" w:color="auto"/>
        <w:right w:val="none" w:sz="0" w:space="0" w:color="auto"/>
      </w:divBdr>
    </w:div>
    <w:div w:id="114493156">
      <w:bodyDiv w:val="1"/>
      <w:marLeft w:val="0"/>
      <w:marRight w:val="0"/>
      <w:marTop w:val="0"/>
      <w:marBottom w:val="0"/>
      <w:divBdr>
        <w:top w:val="none" w:sz="0" w:space="0" w:color="auto"/>
        <w:left w:val="none" w:sz="0" w:space="0" w:color="auto"/>
        <w:bottom w:val="none" w:sz="0" w:space="0" w:color="auto"/>
        <w:right w:val="none" w:sz="0" w:space="0" w:color="auto"/>
      </w:divBdr>
    </w:div>
    <w:div w:id="292947757">
      <w:bodyDiv w:val="1"/>
      <w:marLeft w:val="0"/>
      <w:marRight w:val="0"/>
      <w:marTop w:val="0"/>
      <w:marBottom w:val="0"/>
      <w:divBdr>
        <w:top w:val="none" w:sz="0" w:space="0" w:color="auto"/>
        <w:left w:val="none" w:sz="0" w:space="0" w:color="auto"/>
        <w:bottom w:val="none" w:sz="0" w:space="0" w:color="auto"/>
        <w:right w:val="none" w:sz="0" w:space="0" w:color="auto"/>
      </w:divBdr>
    </w:div>
    <w:div w:id="534735108">
      <w:bodyDiv w:val="1"/>
      <w:marLeft w:val="0"/>
      <w:marRight w:val="0"/>
      <w:marTop w:val="0"/>
      <w:marBottom w:val="0"/>
      <w:divBdr>
        <w:top w:val="none" w:sz="0" w:space="0" w:color="auto"/>
        <w:left w:val="none" w:sz="0" w:space="0" w:color="auto"/>
        <w:bottom w:val="none" w:sz="0" w:space="0" w:color="auto"/>
        <w:right w:val="none" w:sz="0" w:space="0" w:color="auto"/>
      </w:divBdr>
    </w:div>
    <w:div w:id="684523695">
      <w:bodyDiv w:val="1"/>
      <w:marLeft w:val="0"/>
      <w:marRight w:val="0"/>
      <w:marTop w:val="0"/>
      <w:marBottom w:val="0"/>
      <w:divBdr>
        <w:top w:val="none" w:sz="0" w:space="0" w:color="auto"/>
        <w:left w:val="none" w:sz="0" w:space="0" w:color="auto"/>
        <w:bottom w:val="none" w:sz="0" w:space="0" w:color="auto"/>
        <w:right w:val="none" w:sz="0" w:space="0" w:color="auto"/>
      </w:divBdr>
    </w:div>
    <w:div w:id="685861192">
      <w:bodyDiv w:val="1"/>
      <w:marLeft w:val="0"/>
      <w:marRight w:val="0"/>
      <w:marTop w:val="0"/>
      <w:marBottom w:val="0"/>
      <w:divBdr>
        <w:top w:val="none" w:sz="0" w:space="0" w:color="auto"/>
        <w:left w:val="none" w:sz="0" w:space="0" w:color="auto"/>
        <w:bottom w:val="none" w:sz="0" w:space="0" w:color="auto"/>
        <w:right w:val="none" w:sz="0" w:space="0" w:color="auto"/>
      </w:divBdr>
    </w:div>
    <w:div w:id="720862930">
      <w:bodyDiv w:val="1"/>
      <w:marLeft w:val="0"/>
      <w:marRight w:val="0"/>
      <w:marTop w:val="0"/>
      <w:marBottom w:val="0"/>
      <w:divBdr>
        <w:top w:val="none" w:sz="0" w:space="0" w:color="auto"/>
        <w:left w:val="none" w:sz="0" w:space="0" w:color="auto"/>
        <w:bottom w:val="none" w:sz="0" w:space="0" w:color="auto"/>
        <w:right w:val="none" w:sz="0" w:space="0" w:color="auto"/>
      </w:divBdr>
    </w:div>
    <w:div w:id="809978824">
      <w:bodyDiv w:val="1"/>
      <w:marLeft w:val="0"/>
      <w:marRight w:val="0"/>
      <w:marTop w:val="0"/>
      <w:marBottom w:val="0"/>
      <w:divBdr>
        <w:top w:val="none" w:sz="0" w:space="0" w:color="auto"/>
        <w:left w:val="none" w:sz="0" w:space="0" w:color="auto"/>
        <w:bottom w:val="none" w:sz="0" w:space="0" w:color="auto"/>
        <w:right w:val="none" w:sz="0" w:space="0" w:color="auto"/>
      </w:divBdr>
    </w:div>
    <w:div w:id="855122217">
      <w:bodyDiv w:val="1"/>
      <w:marLeft w:val="0"/>
      <w:marRight w:val="0"/>
      <w:marTop w:val="0"/>
      <w:marBottom w:val="0"/>
      <w:divBdr>
        <w:top w:val="none" w:sz="0" w:space="0" w:color="auto"/>
        <w:left w:val="none" w:sz="0" w:space="0" w:color="auto"/>
        <w:bottom w:val="none" w:sz="0" w:space="0" w:color="auto"/>
        <w:right w:val="none" w:sz="0" w:space="0" w:color="auto"/>
      </w:divBdr>
    </w:div>
    <w:div w:id="1056394075">
      <w:bodyDiv w:val="1"/>
      <w:marLeft w:val="0"/>
      <w:marRight w:val="0"/>
      <w:marTop w:val="0"/>
      <w:marBottom w:val="0"/>
      <w:divBdr>
        <w:top w:val="none" w:sz="0" w:space="0" w:color="auto"/>
        <w:left w:val="none" w:sz="0" w:space="0" w:color="auto"/>
        <w:bottom w:val="none" w:sz="0" w:space="0" w:color="auto"/>
        <w:right w:val="none" w:sz="0" w:space="0" w:color="auto"/>
      </w:divBdr>
    </w:div>
    <w:div w:id="1249851552">
      <w:bodyDiv w:val="1"/>
      <w:marLeft w:val="0"/>
      <w:marRight w:val="0"/>
      <w:marTop w:val="0"/>
      <w:marBottom w:val="0"/>
      <w:divBdr>
        <w:top w:val="none" w:sz="0" w:space="0" w:color="auto"/>
        <w:left w:val="none" w:sz="0" w:space="0" w:color="auto"/>
        <w:bottom w:val="none" w:sz="0" w:space="0" w:color="auto"/>
        <w:right w:val="none" w:sz="0" w:space="0" w:color="auto"/>
      </w:divBdr>
    </w:div>
    <w:div w:id="1300957682">
      <w:bodyDiv w:val="1"/>
      <w:marLeft w:val="0"/>
      <w:marRight w:val="0"/>
      <w:marTop w:val="0"/>
      <w:marBottom w:val="0"/>
      <w:divBdr>
        <w:top w:val="none" w:sz="0" w:space="0" w:color="auto"/>
        <w:left w:val="none" w:sz="0" w:space="0" w:color="auto"/>
        <w:bottom w:val="none" w:sz="0" w:space="0" w:color="auto"/>
        <w:right w:val="none" w:sz="0" w:space="0" w:color="auto"/>
      </w:divBdr>
    </w:div>
    <w:div w:id="1493066511">
      <w:bodyDiv w:val="1"/>
      <w:marLeft w:val="0"/>
      <w:marRight w:val="0"/>
      <w:marTop w:val="0"/>
      <w:marBottom w:val="0"/>
      <w:divBdr>
        <w:top w:val="none" w:sz="0" w:space="0" w:color="auto"/>
        <w:left w:val="none" w:sz="0" w:space="0" w:color="auto"/>
        <w:bottom w:val="none" w:sz="0" w:space="0" w:color="auto"/>
        <w:right w:val="none" w:sz="0" w:space="0" w:color="auto"/>
      </w:divBdr>
    </w:div>
    <w:div w:id="1591698922">
      <w:bodyDiv w:val="1"/>
      <w:marLeft w:val="0"/>
      <w:marRight w:val="0"/>
      <w:marTop w:val="0"/>
      <w:marBottom w:val="0"/>
      <w:divBdr>
        <w:top w:val="none" w:sz="0" w:space="0" w:color="auto"/>
        <w:left w:val="none" w:sz="0" w:space="0" w:color="auto"/>
        <w:bottom w:val="none" w:sz="0" w:space="0" w:color="auto"/>
        <w:right w:val="none" w:sz="0" w:space="0" w:color="auto"/>
      </w:divBdr>
    </w:div>
    <w:div w:id="1601596800">
      <w:bodyDiv w:val="1"/>
      <w:marLeft w:val="0"/>
      <w:marRight w:val="0"/>
      <w:marTop w:val="0"/>
      <w:marBottom w:val="0"/>
      <w:divBdr>
        <w:top w:val="none" w:sz="0" w:space="0" w:color="auto"/>
        <w:left w:val="none" w:sz="0" w:space="0" w:color="auto"/>
        <w:bottom w:val="none" w:sz="0" w:space="0" w:color="auto"/>
        <w:right w:val="none" w:sz="0" w:space="0" w:color="auto"/>
      </w:divBdr>
    </w:div>
    <w:div w:id="1618488593">
      <w:bodyDiv w:val="1"/>
      <w:marLeft w:val="0"/>
      <w:marRight w:val="0"/>
      <w:marTop w:val="0"/>
      <w:marBottom w:val="0"/>
      <w:divBdr>
        <w:top w:val="none" w:sz="0" w:space="0" w:color="auto"/>
        <w:left w:val="none" w:sz="0" w:space="0" w:color="auto"/>
        <w:bottom w:val="none" w:sz="0" w:space="0" w:color="auto"/>
        <w:right w:val="none" w:sz="0" w:space="0" w:color="auto"/>
      </w:divBdr>
    </w:div>
    <w:div w:id="1739087759">
      <w:bodyDiv w:val="1"/>
      <w:marLeft w:val="0"/>
      <w:marRight w:val="0"/>
      <w:marTop w:val="0"/>
      <w:marBottom w:val="0"/>
      <w:divBdr>
        <w:top w:val="none" w:sz="0" w:space="0" w:color="auto"/>
        <w:left w:val="none" w:sz="0" w:space="0" w:color="auto"/>
        <w:bottom w:val="none" w:sz="0" w:space="0" w:color="auto"/>
        <w:right w:val="none" w:sz="0" w:space="0" w:color="auto"/>
      </w:divBdr>
    </w:div>
    <w:div w:id="1778941498">
      <w:bodyDiv w:val="1"/>
      <w:marLeft w:val="0"/>
      <w:marRight w:val="0"/>
      <w:marTop w:val="0"/>
      <w:marBottom w:val="0"/>
      <w:divBdr>
        <w:top w:val="none" w:sz="0" w:space="0" w:color="auto"/>
        <w:left w:val="none" w:sz="0" w:space="0" w:color="auto"/>
        <w:bottom w:val="none" w:sz="0" w:space="0" w:color="auto"/>
        <w:right w:val="none" w:sz="0" w:space="0" w:color="auto"/>
      </w:divBdr>
    </w:div>
    <w:div w:id="1789467950">
      <w:bodyDiv w:val="1"/>
      <w:marLeft w:val="0"/>
      <w:marRight w:val="0"/>
      <w:marTop w:val="0"/>
      <w:marBottom w:val="0"/>
      <w:divBdr>
        <w:top w:val="none" w:sz="0" w:space="0" w:color="auto"/>
        <w:left w:val="none" w:sz="0" w:space="0" w:color="auto"/>
        <w:bottom w:val="none" w:sz="0" w:space="0" w:color="auto"/>
        <w:right w:val="none" w:sz="0" w:space="0" w:color="auto"/>
      </w:divBdr>
    </w:div>
    <w:div w:id="1867136535">
      <w:bodyDiv w:val="1"/>
      <w:marLeft w:val="0"/>
      <w:marRight w:val="0"/>
      <w:marTop w:val="0"/>
      <w:marBottom w:val="0"/>
      <w:divBdr>
        <w:top w:val="none" w:sz="0" w:space="0" w:color="auto"/>
        <w:left w:val="none" w:sz="0" w:space="0" w:color="auto"/>
        <w:bottom w:val="none" w:sz="0" w:space="0" w:color="auto"/>
        <w:right w:val="none" w:sz="0" w:space="0" w:color="auto"/>
      </w:divBdr>
    </w:div>
    <w:div w:id="1875922209">
      <w:bodyDiv w:val="1"/>
      <w:marLeft w:val="0"/>
      <w:marRight w:val="0"/>
      <w:marTop w:val="0"/>
      <w:marBottom w:val="0"/>
      <w:divBdr>
        <w:top w:val="none" w:sz="0" w:space="0" w:color="auto"/>
        <w:left w:val="none" w:sz="0" w:space="0" w:color="auto"/>
        <w:bottom w:val="none" w:sz="0" w:space="0" w:color="auto"/>
        <w:right w:val="none" w:sz="0" w:space="0" w:color="auto"/>
      </w:divBdr>
    </w:div>
    <w:div w:id="1889028940">
      <w:bodyDiv w:val="1"/>
      <w:marLeft w:val="0"/>
      <w:marRight w:val="0"/>
      <w:marTop w:val="0"/>
      <w:marBottom w:val="0"/>
      <w:divBdr>
        <w:top w:val="none" w:sz="0" w:space="0" w:color="auto"/>
        <w:left w:val="none" w:sz="0" w:space="0" w:color="auto"/>
        <w:bottom w:val="none" w:sz="0" w:space="0" w:color="auto"/>
        <w:right w:val="none" w:sz="0" w:space="0" w:color="auto"/>
      </w:divBdr>
    </w:div>
    <w:div w:id="1941637823">
      <w:bodyDiv w:val="1"/>
      <w:marLeft w:val="0"/>
      <w:marRight w:val="0"/>
      <w:marTop w:val="0"/>
      <w:marBottom w:val="0"/>
      <w:divBdr>
        <w:top w:val="none" w:sz="0" w:space="0" w:color="auto"/>
        <w:left w:val="none" w:sz="0" w:space="0" w:color="auto"/>
        <w:bottom w:val="none" w:sz="0" w:space="0" w:color="auto"/>
        <w:right w:val="none" w:sz="0" w:space="0" w:color="auto"/>
      </w:divBdr>
    </w:div>
    <w:div w:id="19657733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043B9-4E3F-4C37-A590-5B4DB7369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2871</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ISO Flow Chart Template</vt:lpstr>
    </vt:vector>
  </TitlesOfParts>
  <Company/>
  <LinksUpToDate>false</LinksUpToDate>
  <CharactersWithSpaces>19198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ISO Flow Chart Template</dc:title>
  <dc:subject>ISO9002</dc:subject>
  <dc:creator>Mohamed Sulaiman Suhaibuddeen</dc:creator>
  <cp:lastModifiedBy>steadytrack</cp:lastModifiedBy>
  <cp:revision>2</cp:revision>
  <cp:lastPrinted>2026-07-19T09:48:00Z</cp:lastPrinted>
  <dcterms:created xsi:type="dcterms:W3CDTF">2026-08-23T03:56:00Z</dcterms:created>
  <dcterms:modified xsi:type="dcterms:W3CDTF">2026-08-23T03:56:00Z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2018-11-16T00:00:00Z</vt:filetime>
  </property>
  <property fmtid="{D5CDD505-2E9C-101B-9397-08002B2CF9AE}" pid="3" name="Creator">
    <vt:lpwstr>Microsoft® Visio® 2016</vt:lpwstr>
  </property>
  <property fmtid="{D5CDD505-2E9C-101B-9397-08002B2CF9AE}" pid="4" name="LastSaved">
    <vt:filetime>2024-11-11T00:00:00Z</vt:filetime>
  </property>
  <property fmtid="{D5CDD505-2E9C-101B-9397-08002B2CF9AE}" pid="5" name="Producer">
    <vt:lpwstr>Microsoft® Visio® 2016</vt:lpwstr>
  </property>
</Properties>
</file>