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5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8010"/>
      </w:tblGrid>
      <w:tr w:rsidR="001E1402" w:rsidRPr="00B60475" w14:paraId="0B21D9A7" w14:textId="77777777" w:rsidTr="001E1402">
        <w:tc>
          <w:tcPr>
            <w:tcW w:w="1748" w:type="dxa"/>
          </w:tcPr>
          <w:p w14:paraId="64BFD9E1" w14:textId="77777777" w:rsidR="001E1402" w:rsidRPr="00B60475" w:rsidRDefault="001E1402" w:rsidP="00BB3C23">
            <w:pPr>
              <w:ind w:left="11" w:hanging="11"/>
              <w:jc w:val="left"/>
              <w:rPr>
                <w:rFonts w:asciiTheme="minorHAnsi" w:hAnsiTheme="minorHAnsi" w:cstheme="minorHAnsi"/>
                <w:sz w:val="24"/>
                <w:szCs w:val="24"/>
              </w:rPr>
            </w:pPr>
            <w:r w:rsidRPr="00B60475">
              <w:rPr>
                <w:rFonts w:asciiTheme="minorHAnsi" w:hAnsiTheme="minorHAnsi" w:cstheme="minorHAnsi" w:ascii="Calibri" w:hAnsi="Calibri"/>
                <w:sz w:val="24"/>
                <w:szCs w:val="24"/>
              </w:rPr>
              <w:t>Purpose:</w:t>
            </w:r>
          </w:p>
        </w:tc>
        <w:tc>
          <w:tcPr>
            <w:tcW w:w="8010" w:type="dxa"/>
            <w:vAlign w:val="top"/>
          </w:tcPr>
          <w:p>
            <w:pPr>
              <w:spacing w:before="0" w:after="60" w:line="240" w:lineRule="auto"/>
              <w:jc w:val="left"/>
            </w:pPr>
            <w:r>
              <w:rPr>
                <w:rFonts w:ascii="Calibri" w:hAnsi="Calibri"/>
                <w:sz w:val="24"/>
              </w:rPr>
            </w:r>
            <w:r>
              <w:rPr>
                <w:rFonts w:ascii="Calibri" w:hAnsi="Calibri"/>
                <w:b w:val="0"/>
                <w:sz w:val="24"/>
              </w:rPr>
              <w:t>To define how the Company determines, reviews and maintains its organisational context under MS ISO 45001:2018 so that the OHSMS achieves safe and healthy workplaces, prevents injury and ill health and supports continual improvement.</w:t>
            </w:r>
          </w:p>
        </w:tc>
      </w:tr>
      <w:tr w:rsidR="001E1402" w:rsidRPr="00B60475" w14:paraId="078450FC" w14:textId="77777777" w:rsidTr="001E1402">
        <w:tc>
          <w:tcPr>
            <w:tcW w:w="1748" w:type="dxa"/>
          </w:tcPr>
          <w:p w14:paraId="2CA7A45A" w14:textId="77777777" w:rsidR="001E1402" w:rsidRPr="00B60475" w:rsidRDefault="001E1402"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Scope:</w:t>
            </w:r>
          </w:p>
        </w:tc>
        <w:tc>
          <w:tcPr>
            <w:tcW w:w="8010" w:type="dxa"/>
            <w:vAlign w:val="top"/>
          </w:tcPr>
          <w:p>
            <w:pPr>
              <w:spacing w:before="0" w:after="60" w:line="240" w:lineRule="auto"/>
              <w:jc w:val="left"/>
            </w:pPr>
            <w:r>
              <w:rPr>
                <w:rFonts w:ascii="Calibri" w:hAnsi="Calibri"/>
                <w:sz w:val="24"/>
              </w:rPr>
            </w:r>
            <w:r>
              <w:rPr>
                <w:rFonts w:ascii="Calibri" w:hAnsi="Calibri"/>
                <w:b w:val="0"/>
                <w:sz w:val="24"/>
              </w:rPr>
              <w:t>This document applies to all corporate functions, departments, projects, workers, contractors and subcontractors involved in the supply, installation, maintenance and servicing of M&amp;E systems in Malaysia and overseas.</w:t>
            </w:r>
          </w:p>
        </w:tc>
      </w:tr>
      <w:tr w:rsidR="009E3C35" w:rsidRPr="00B60475" w14:paraId="7ACC9CEE" w14:textId="77777777" w:rsidTr="001E1402">
        <w:tc>
          <w:tcPr>
            <w:tcW w:w="1748" w:type="dxa"/>
          </w:tcPr>
          <w:p w14:paraId="7A2398B4" w14:textId="77777777" w:rsidR="009E3C35" w:rsidRPr="00B60475" w:rsidRDefault="009E3C35"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Duties &amp; Responsibilities</w:t>
            </w:r>
          </w:p>
        </w:tc>
        <w:tc>
          <w:tcPr>
            <w:tcW w:w="8010" w:type="dxa"/>
            <w:vAlign w:val="top"/>
          </w:tcPr>
          <w:p>
            <w:pPr>
              <w:spacing w:before="0" w:after="60" w:line="240" w:lineRule="auto"/>
              <w:jc w:val="left"/>
            </w:pPr>
            <w:r>
              <w:rPr>
                <w:rFonts w:ascii="Calibri" w:hAnsi="Calibri"/>
                <w:sz w:val="24"/>
              </w:rPr>
            </w:r>
            <w:r>
              <w:rPr>
                <w:rFonts w:ascii="Calibri" w:hAnsi="Calibri"/>
                <w:b w:val="0"/>
                <w:sz w:val="24"/>
              </w:rPr>
              <w:t>The Managing Director is accountable for the OHSMS. The Executive Director provides oversight and resources. The ISO Manager maintains this document and coordinates reviews. The Head of SHO evaluates OHS implications and Department Heads, Project Managers, workers and worker representatives support implementation, reporting, consultation and improvement.</w:t>
            </w:r>
          </w:p>
        </w:tc>
      </w:tr>
      <w:tr w:rsidR="001E1402" w:rsidRPr="00B60475" w14:paraId="18606BA1" w14:textId="77777777" w:rsidTr="001E1402">
        <w:tc>
          <w:tcPr>
            <w:tcW w:w="1748" w:type="dxa"/>
          </w:tcPr>
          <w:p w14:paraId="16AD3E50" w14:textId="77777777" w:rsidR="001E1402" w:rsidRPr="00B60475" w:rsidRDefault="001E1402"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ISO Reference:</w:t>
            </w:r>
          </w:p>
        </w:tc>
        <w:tc>
          <w:tcPr>
            <w:tcW w:w="8010" w:type="dxa"/>
            <w:vAlign w:val="top"/>
          </w:tcPr>
          <w:p>
            <w:pPr>
              <w:spacing w:before="0" w:after="60" w:line="240" w:lineRule="auto"/>
              <w:jc w:val="left"/>
            </w:pPr>
            <w:r>
              <w:rPr>
                <w:rFonts w:ascii="Calibri" w:hAnsi="Calibri"/>
                <w:sz w:val="24"/>
              </w:rPr>
            </w:r>
            <w:r>
              <w:rPr>
                <w:rFonts w:ascii="Calibri" w:hAnsi="Calibri"/>
                <w:b w:val="0"/>
                <w:sz w:val="24"/>
              </w:rPr>
              <w:t>MS ISO 45001:2018 Clauses 4.1, 4.2, 4.3 and 4.4 including ISO 45001:2018/Amd 1:2024.</w:t>
            </w:r>
          </w:p>
        </w:tc>
      </w:tr>
    </w:tbl>
    <w:p w14:paraId="460DBECD" w14:textId="77777777" w:rsidR="001E1402" w:rsidRPr="00B60475" w:rsidRDefault="001E1402" w:rsidP="00BB3C23">
      <w:pPr>
        <w:ind w:left="709" w:hanging="709"/>
        <w:rPr>
          <w:rFonts w:asciiTheme="minorHAnsi" w:hAnsiTheme="minorHAnsi" w:cstheme="minorHAnsi"/>
          <w:sz w:val="24"/>
          <w:szCs w:val="24"/>
        </w:rPr>
      </w:pPr>
    </w:p>
    <w:tbl>
      <w:tblPr>
        <w:tblStyle w:val="TableGrid"/>
        <w:tblW w:w="9810" w:type="dxa"/>
        <w:tblInd w:w="250" w:type="dxa"/>
        <w:tblLook w:val="04A0" w:firstRow="1" w:lastRow="0" w:firstColumn="1" w:lastColumn="0" w:noHBand="0" w:noVBand="1"/>
      </w:tblPr>
      <w:tblGrid>
        <w:gridCol w:w="1730"/>
        <w:gridCol w:w="2013"/>
        <w:gridCol w:w="1672"/>
        <w:gridCol w:w="4395"/>
      </w:tblGrid>
      <w:tr w:rsidR="001E1402" w:rsidRPr="00B60475" w14:paraId="5C74C688" w14:textId="77777777" w:rsidTr="001E1402">
        <w:tc>
          <w:tcPr>
            <w:tcW w:w="9810" w:type="dxa"/>
            <w:gridSpan w:val="4"/>
            <w:shd w:val="clear" w:color="auto" w:fill="CCFFFF"/>
          </w:tcPr>
          <w:p w14:paraId="185DAAF9" w14:textId="77777777" w:rsidR="001E1402" w:rsidRPr="00B60475" w:rsidRDefault="001E1402"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Revision History</w:t>
            </w:r>
          </w:p>
        </w:tc>
      </w:tr>
      <w:tr w:rsidR="001E1402" w:rsidRPr="00B60475" w14:paraId="3176CE85" w14:textId="77777777" w:rsidTr="001E1402">
        <w:tc>
          <w:tcPr>
            <w:tcW w:w="1730" w:type="dxa"/>
            <w:shd w:val="clear" w:color="auto" w:fill="DBE5F1" w:themeFill="accent1" w:themeFillTint="33"/>
          </w:tcPr>
          <w:p w14:paraId="06F13277" w14:textId="77777777" w:rsidR="001E1402" w:rsidRPr="00B60475" w:rsidRDefault="001E1402"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Revision No.</w:t>
            </w:r>
          </w:p>
        </w:tc>
        <w:tc>
          <w:tcPr>
            <w:tcW w:w="2013" w:type="dxa"/>
            <w:shd w:val="clear" w:color="auto" w:fill="DBE5F1" w:themeFill="accent1" w:themeFillTint="33"/>
          </w:tcPr>
          <w:p w14:paraId="6E29B7A6" w14:textId="77777777" w:rsidR="001E1402" w:rsidRPr="00B60475" w:rsidRDefault="001E1402"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Revision Date</w:t>
            </w:r>
          </w:p>
        </w:tc>
        <w:tc>
          <w:tcPr>
            <w:tcW w:w="1672" w:type="dxa"/>
            <w:shd w:val="clear" w:color="auto" w:fill="DBE5F1" w:themeFill="accent1" w:themeFillTint="33"/>
          </w:tcPr>
          <w:p w14:paraId="517752E4" w14:textId="77777777" w:rsidR="001E1402" w:rsidRPr="00B60475" w:rsidRDefault="001E1402"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Originator</w:t>
            </w:r>
          </w:p>
        </w:tc>
        <w:tc>
          <w:tcPr>
            <w:tcW w:w="4395" w:type="dxa"/>
            <w:shd w:val="clear" w:color="auto" w:fill="DBE5F1" w:themeFill="accent1" w:themeFillTint="33"/>
          </w:tcPr>
          <w:p w14:paraId="69B3CAC5" w14:textId="77777777" w:rsidR="001E1402" w:rsidRPr="00B60475" w:rsidRDefault="001E1402"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Description of Changes</w:t>
            </w:r>
          </w:p>
        </w:tc>
      </w:tr>
      <w:tr w:rsidR="001E1402" w:rsidRPr="00B60475" w14:paraId="38ED1EEA" w14:textId="77777777" w:rsidTr="001E1402">
        <w:tc>
          <w:tcPr>
            <w:tcW w:w="1730" w:type="dxa"/>
          </w:tcPr>
          <w:p w14:paraId="35DD8DD2"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0</w:t>
            </w:r>
          </w:p>
        </w:tc>
        <w:tc>
          <w:tcPr>
            <w:tcW w:w="2013" w:type="dxa"/>
          </w:tcPr>
          <w:p w14:paraId="0F969266"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01 September 2026</w:t>
            </w:r>
          </w:p>
        </w:tc>
        <w:tc>
          <w:tcPr>
            <w:tcW w:w="1672" w:type="dxa"/>
          </w:tcPr>
          <w:p w14:paraId="1E7B161E"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ISO Manager</w:t>
            </w:r>
          </w:p>
        </w:tc>
        <w:tc>
          <w:tcPr>
            <w:tcW w:w="4395" w:type="dxa"/>
          </w:tcPr>
          <w:p w14:paraId="730C462D"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Initial issue for implementation of MS ISO 45001:2018 Clause 4 including Amendment 1:2024 climate action changes</w:t>
            </w:r>
          </w:p>
        </w:tc>
      </w:tr>
      <w:tr w:rsidR="001E1402" w:rsidRPr="00B60475" w14:paraId="606905EF" w14:textId="77777777" w:rsidTr="001E1402">
        <w:tc>
          <w:tcPr>
            <w:tcW w:w="1730" w:type="dxa"/>
          </w:tcPr>
          <w:p w14:paraId="7BC7C681" w14:textId="77777777" w:rsidR="001E1402" w:rsidRPr="00B60475" w:rsidRDefault="001E1402" w:rsidP="00BB3C23">
            <w:pPr>
              <w:jc w:val="left"/>
              <w:rPr>
                <w:rFonts w:asciiTheme="minorHAnsi" w:hAnsiTheme="minorHAnsi" w:cstheme="minorHAnsi"/>
                <w:sz w:val="24"/>
                <w:szCs w:val="24"/>
              </w:rPr>
            </w:pPr>
          </w:p>
        </w:tc>
        <w:tc>
          <w:tcPr>
            <w:tcW w:w="2013" w:type="dxa"/>
          </w:tcPr>
          <w:p w14:paraId="3A17385A" w14:textId="77777777" w:rsidR="001E1402" w:rsidRPr="00B60475" w:rsidRDefault="001E1402" w:rsidP="00BB3C23">
            <w:pPr>
              <w:jc w:val="left"/>
              <w:rPr>
                <w:rFonts w:asciiTheme="minorHAnsi" w:hAnsiTheme="minorHAnsi" w:cstheme="minorHAnsi"/>
                <w:sz w:val="24"/>
                <w:szCs w:val="24"/>
              </w:rPr>
            </w:pPr>
          </w:p>
        </w:tc>
        <w:tc>
          <w:tcPr>
            <w:tcW w:w="1672" w:type="dxa"/>
          </w:tcPr>
          <w:p w14:paraId="27D9A758" w14:textId="77777777" w:rsidR="001E1402" w:rsidRPr="00B60475" w:rsidRDefault="001E1402" w:rsidP="00BB3C23">
            <w:pPr>
              <w:jc w:val="left"/>
              <w:rPr>
                <w:rFonts w:asciiTheme="minorHAnsi" w:hAnsiTheme="minorHAnsi" w:cstheme="minorHAnsi"/>
                <w:sz w:val="24"/>
                <w:szCs w:val="24"/>
              </w:rPr>
            </w:pPr>
          </w:p>
        </w:tc>
        <w:tc>
          <w:tcPr>
            <w:tcW w:w="4395" w:type="dxa"/>
          </w:tcPr>
          <w:p w14:paraId="63F59BDB" w14:textId="77777777" w:rsidR="001E1402" w:rsidRPr="00B60475" w:rsidRDefault="001E1402" w:rsidP="00BB3C23">
            <w:pPr>
              <w:jc w:val="left"/>
              <w:rPr>
                <w:rFonts w:asciiTheme="minorHAnsi" w:hAnsiTheme="minorHAnsi" w:cstheme="minorHAnsi"/>
                <w:sz w:val="24"/>
                <w:szCs w:val="24"/>
              </w:rPr>
            </w:pPr>
          </w:p>
        </w:tc>
      </w:tr>
    </w:tbl>
    <w:p w14:paraId="381598D0" w14:textId="77777777" w:rsidR="00F84608" w:rsidRPr="00B60475" w:rsidRDefault="00F84608" w:rsidP="00BB3C23">
      <w:pPr>
        <w:pStyle w:val="BodyText"/>
        <w:rPr>
          <w:rFonts w:asciiTheme="minorHAnsi" w:hAnsiTheme="minorHAnsi" w:cstheme="minorHAnsi"/>
          <w:sz w:val="24"/>
          <w:szCs w:val="24"/>
        </w:rPr>
      </w:pPr>
    </w:p>
    <w:tbl>
      <w:tblPr>
        <w:tblStyle w:val="TableGrid"/>
        <w:tblW w:w="9781" w:type="dxa"/>
        <w:tblInd w:w="250" w:type="dxa"/>
        <w:tblLook w:val="04A0" w:firstRow="1" w:lastRow="0" w:firstColumn="1" w:lastColumn="0" w:noHBand="0" w:noVBand="1"/>
      </w:tblPr>
      <w:tblGrid>
        <w:gridCol w:w="1730"/>
        <w:gridCol w:w="8051"/>
      </w:tblGrid>
      <w:tr w:rsidR="00BA7E83" w:rsidRPr="00B60475" w14:paraId="61D40ED1" w14:textId="77777777" w:rsidTr="00BA7E83">
        <w:tc>
          <w:tcPr>
            <w:tcW w:w="9781" w:type="dxa"/>
            <w:gridSpan w:val="2"/>
            <w:shd w:val="clear" w:color="auto" w:fill="C6F4F1"/>
          </w:tcPr>
          <w:p w14:paraId="2F942820"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b/>
                <w:sz w:val="24"/>
                <w:szCs w:val="24"/>
              </w:rPr>
              <w:t>Abbreviation &amp; Definition</w:t>
            </w:r>
          </w:p>
        </w:tc>
      </w:tr>
      <w:tr w:rsidR="005F13C1" w:rsidRPr="00B60475" w14:paraId="4AFFF3FE" w14:textId="77777777" w:rsidTr="007914E0">
        <w:tc>
          <w:tcPr>
            <w:tcW w:w="1730" w:type="dxa"/>
          </w:tcPr>
          <w:p w14:paraId="1F4954CD"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BIM</w:t>
            </w:r>
          </w:p>
        </w:tc>
        <w:tc>
          <w:tcPr>
            <w:tcW w:w="8051" w:type="dxa"/>
          </w:tcPr>
          <w:p w14:paraId="5B46ED06"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Building Information Modelling</w:t>
            </w:r>
          </w:p>
        </w:tc>
      </w:tr>
      <w:tr w:rsidR="005F13C1" w:rsidRPr="00B60475" w14:paraId="6D2829B1" w14:textId="77777777" w:rsidTr="007914E0">
        <w:tc>
          <w:tcPr>
            <w:tcW w:w="1730" w:type="dxa"/>
          </w:tcPr>
          <w:p w14:paraId="584037EE"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DOSH</w:t>
            </w:r>
          </w:p>
        </w:tc>
        <w:tc>
          <w:tcPr>
            <w:tcW w:w="8051" w:type="dxa"/>
          </w:tcPr>
          <w:p w14:paraId="32AE8B71"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Department of Occupational Safety and Health Malaysia</w:t>
            </w:r>
          </w:p>
        </w:tc>
      </w:tr>
      <w:tr w:rsidR="005F13C1" w:rsidRPr="00B60475" w14:paraId="2FED6136" w14:textId="77777777" w:rsidTr="007914E0">
        <w:tc>
          <w:tcPr>
            <w:tcW w:w="1730" w:type="dxa"/>
          </w:tcPr>
          <w:p w14:paraId="38D45B9E"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ED</w:t>
            </w:r>
          </w:p>
        </w:tc>
        <w:tc>
          <w:tcPr>
            <w:tcW w:w="8051" w:type="dxa"/>
          </w:tcPr>
          <w:p w14:paraId="45CBA107"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Executive Director</w:t>
            </w:r>
          </w:p>
        </w:tc>
      </w:tr>
      <w:tr w:rsidR="005F13C1" w:rsidRPr="00B60475" w14:paraId="5D95A6A2" w14:textId="77777777" w:rsidTr="007914E0">
        <w:tc>
          <w:tcPr>
            <w:tcW w:w="1730" w:type="dxa"/>
          </w:tcPr>
          <w:p w14:paraId="40B71C06"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HIRARC</w:t>
            </w:r>
          </w:p>
        </w:tc>
        <w:tc>
          <w:tcPr>
            <w:tcW w:w="8051" w:type="dxa"/>
          </w:tcPr>
          <w:p w14:paraId="4BBAEFFD"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Hazard Identification, Risk Assessment and Risk Control</w:t>
            </w:r>
          </w:p>
        </w:tc>
      </w:tr>
      <w:tr w:rsidR="009330D4" w:rsidRPr="00B60475" w14:paraId="03519857" w14:textId="77777777">
        <w:tc>
          <w:tcPr>
            <w:tcW w:w="1730" w:type="dxa"/>
          </w:tcPr>
          <w:p w14:paraId="51267A01" w14:textId="5086E632" w:rsidR="009330D4" w:rsidRPr="00B60475" w:rsidRDefault="007E7DD1" w:rsidP="00BB3C23">
            <w:pPr>
              <w:jc w:val="left"/>
              <w:rPr>
                <w:rFonts w:asciiTheme="minorHAnsi" w:hAnsiTheme="minorHAnsi" w:cstheme="minorHAnsi"/>
                <w:bCs/>
                <w:sz w:val="24"/>
                <w:szCs w:val="24"/>
              </w:rPr>
            </w:pPr>
            <w:r>
              <w:rPr>
                <w:rFonts w:asciiTheme="minorHAnsi" w:hAnsiTheme="minorHAnsi" w:cstheme="minorHAnsi" w:ascii="Calibri" w:hAnsi="Calibri"/>
                <w:bCs/>
                <w:sz w:val="24"/>
                <w:szCs w:val="24"/>
              </w:rPr>
              <w:t>HSE</w:t>
            </w:r>
          </w:p>
        </w:tc>
        <w:tc>
          <w:tcPr>
            <w:tcW w:w="8051" w:type="dxa"/>
          </w:tcPr>
          <w:p w14:paraId="4C235A72"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Health, Safety and Environment</w:t>
            </w:r>
          </w:p>
        </w:tc>
      </w:tr>
      <w:tr w:rsidR="009330D4" w:rsidRPr="00B60475" w14:paraId="18D9F8D2" w14:textId="77777777">
        <w:tc>
          <w:tcPr>
            <w:tcW w:w="1730" w:type="dxa"/>
          </w:tcPr>
          <w:p w14:paraId="6C4DFBAC"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IM</w:t>
            </w:r>
          </w:p>
        </w:tc>
        <w:tc>
          <w:tcPr>
            <w:tcW w:w="8051" w:type="dxa"/>
          </w:tcPr>
          <w:p w14:paraId="06BCECED"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ISO Manager</w:t>
            </w:r>
          </w:p>
        </w:tc>
      </w:tr>
      <w:tr w:rsidR="009330D4" w:rsidRPr="00B60475" w14:paraId="25C0C3BE" w14:textId="77777777">
        <w:tc>
          <w:tcPr>
            <w:tcW w:w="1730" w:type="dxa"/>
          </w:tcPr>
          <w:p w14:paraId="7D2B5705"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M&amp;E</w:t>
            </w:r>
          </w:p>
        </w:tc>
        <w:tc>
          <w:tcPr>
            <w:tcW w:w="8051" w:type="dxa"/>
          </w:tcPr>
          <w:p w14:paraId="02B646A4"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Mechanical and Electrical</w:t>
            </w:r>
          </w:p>
        </w:tc>
      </w:tr>
      <w:tr w:rsidR="009330D4" w:rsidRPr="00B60475" w14:paraId="0CCD94EB" w14:textId="77777777">
        <w:tc>
          <w:tcPr>
            <w:tcW w:w="1730" w:type="dxa"/>
          </w:tcPr>
          <w:p w14:paraId="6F221269"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MD</w:t>
            </w:r>
          </w:p>
        </w:tc>
        <w:tc>
          <w:tcPr>
            <w:tcW w:w="8051" w:type="dxa"/>
          </w:tcPr>
          <w:p w14:paraId="09293471"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Managing Director</w:t>
            </w:r>
          </w:p>
        </w:tc>
      </w:tr>
      <w:tr w:rsidR="009330D4" w:rsidRPr="00B60475" w14:paraId="55CB7B2B" w14:textId="77777777">
        <w:tc>
          <w:tcPr>
            <w:tcW w:w="1730" w:type="dxa"/>
          </w:tcPr>
          <w:p w14:paraId="45D6A1E2"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OHSMS</w:t>
            </w:r>
          </w:p>
        </w:tc>
        <w:tc>
          <w:tcPr>
            <w:tcW w:w="8051" w:type="dxa"/>
          </w:tcPr>
          <w:p w14:paraId="560D42E0"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Occupational Health and Safety Management System</w:t>
            </w:r>
          </w:p>
        </w:tc>
      </w:tr>
      <w:tr w:rsidR="009330D4" w:rsidRPr="00B60475" w14:paraId="30E5F93C" w14:textId="77777777">
        <w:tc>
          <w:tcPr>
            <w:tcW w:w="1730" w:type="dxa"/>
          </w:tcPr>
          <w:p w14:paraId="7A40FAC2"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PESTLE</w:t>
            </w:r>
          </w:p>
        </w:tc>
        <w:tc>
          <w:tcPr>
            <w:tcW w:w="8051" w:type="dxa"/>
          </w:tcPr>
          <w:p w14:paraId="29E0D206"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Political, Economic, Social, Technological, Legal and Environmental analysis</w:t>
            </w:r>
          </w:p>
        </w:tc>
      </w:tr>
      <w:tr w:rsidR="009330D4" w:rsidRPr="00B60475" w14:paraId="1DD82848" w14:textId="77777777">
        <w:tc>
          <w:tcPr>
            <w:tcW w:w="1730" w:type="dxa"/>
          </w:tcPr>
          <w:p w14:paraId="01975076"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PIC</w:t>
            </w:r>
          </w:p>
        </w:tc>
        <w:tc>
          <w:tcPr>
            <w:tcW w:w="8051" w:type="dxa"/>
          </w:tcPr>
          <w:p w14:paraId="24F6744B"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Person in Charge</w:t>
            </w:r>
          </w:p>
        </w:tc>
      </w:tr>
      <w:tr w:rsidR="009330D4" w:rsidRPr="00B60475" w14:paraId="78176E59" w14:textId="77777777">
        <w:tc>
          <w:tcPr>
            <w:tcW w:w="1730" w:type="dxa"/>
          </w:tcPr>
          <w:p w14:paraId="088E18A1"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PPE</w:t>
            </w:r>
          </w:p>
        </w:tc>
        <w:tc>
          <w:tcPr>
            <w:tcW w:w="8051" w:type="dxa"/>
          </w:tcPr>
          <w:p w14:paraId="4E5398BD"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Personal Protective Equipment</w:t>
            </w:r>
          </w:p>
        </w:tc>
      </w:tr>
      <w:tr w:rsidR="009330D4" w:rsidRPr="00B60475" w14:paraId="737C99B5" w14:textId="77777777">
        <w:tc>
          <w:tcPr>
            <w:tcW w:w="1730" w:type="dxa"/>
          </w:tcPr>
          <w:p w14:paraId="35F15334"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SHO</w:t>
            </w:r>
          </w:p>
        </w:tc>
        <w:tc>
          <w:tcPr>
            <w:tcW w:w="8051" w:type="dxa"/>
          </w:tcPr>
          <w:p w14:paraId="0611C9EF"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Safety and Health Officer</w:t>
            </w:r>
          </w:p>
        </w:tc>
      </w:tr>
      <w:tr w:rsidR="009330D4" w:rsidRPr="00B60475" w14:paraId="7BA28E61" w14:textId="77777777">
        <w:tc>
          <w:tcPr>
            <w:tcW w:w="1730" w:type="dxa"/>
          </w:tcPr>
          <w:p w14:paraId="0E21A453"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ST</w:t>
            </w:r>
          </w:p>
        </w:tc>
        <w:tc>
          <w:tcPr>
            <w:tcW w:w="8051" w:type="dxa"/>
          </w:tcPr>
          <w:p w14:paraId="3BA9C976"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Suruhanjaya Tenaga or Energy Commission Malaysia</w:t>
            </w:r>
          </w:p>
        </w:tc>
      </w:tr>
      <w:tr w:rsidR="009330D4" w:rsidRPr="00B60475" w14:paraId="24F019D5" w14:textId="77777777" w:rsidTr="006A7AD8">
        <w:tc>
          <w:tcPr>
            <w:tcW w:w="1730" w:type="dxa"/>
            <w:tcBorders>
              <w:bottom w:val="single" w:sz="4" w:space="0" w:color="auto"/>
            </w:tcBorders>
          </w:tcPr>
          <w:p w14:paraId="263D0944" w14:textId="77777777" w:rsidR="009330D4" w:rsidRPr="00B60475" w:rsidRDefault="00000000" w:rsidP="00BB3C23">
            <w:pPr>
              <w:jc w:val="left"/>
              <w:rPr>
                <w:rFonts w:asciiTheme="minorHAnsi" w:hAnsiTheme="minorHAnsi" w:cstheme="minorHAnsi"/>
                <w:bCs/>
                <w:sz w:val="24"/>
                <w:szCs w:val="24"/>
              </w:rPr>
            </w:pPr>
            <w:r w:rsidRPr="00B60475">
              <w:rPr>
                <w:rFonts w:asciiTheme="minorHAnsi" w:hAnsiTheme="minorHAnsi" w:cstheme="minorHAnsi" w:ascii="Calibri" w:hAnsi="Calibri"/>
                <w:bCs/>
                <w:sz w:val="24"/>
                <w:szCs w:val="24"/>
              </w:rPr>
              <w:t>SWOT</w:t>
            </w:r>
          </w:p>
        </w:tc>
        <w:tc>
          <w:tcPr>
            <w:tcW w:w="8051" w:type="dxa"/>
            <w:tcBorders>
              <w:bottom w:val="single" w:sz="4" w:space="0" w:color="auto"/>
            </w:tcBorders>
          </w:tcPr>
          <w:p w14:paraId="0E992A15" w14:textId="7777777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Strengths, Weaknesses, Opportunities and Threats analysis</w:t>
            </w:r>
          </w:p>
        </w:tc>
      </w:tr>
      <w:tr w:rsidR="006A7AD8" w:rsidRPr="00B60475" w14:paraId="2FBDCE86" w14:textId="77777777" w:rsidTr="006A7AD8">
        <w:tc>
          <w:tcPr>
            <w:tcW w:w="1730" w:type="dxa"/>
            <w:tcBorders>
              <w:top w:val="single" w:sz="4" w:space="0" w:color="auto"/>
              <w:left w:val="nil"/>
              <w:bottom w:val="nil"/>
              <w:right w:val="nil"/>
            </w:tcBorders>
          </w:tcPr>
          <w:p w14:paraId="47137DDA" w14:textId="77777777" w:rsidR="006A7AD8" w:rsidRPr="00B60475" w:rsidRDefault="006A7AD8" w:rsidP="00BB3C23">
            <w:pPr>
              <w:jc w:val="left"/>
              <w:rPr>
                <w:rFonts w:asciiTheme="minorHAnsi" w:hAnsiTheme="minorHAnsi" w:cstheme="minorHAnsi"/>
                <w:bCs/>
                <w:sz w:val="24"/>
                <w:szCs w:val="24"/>
              </w:rPr>
            </w:pPr>
          </w:p>
        </w:tc>
        <w:tc>
          <w:tcPr>
            <w:tcW w:w="8051" w:type="dxa"/>
            <w:tcBorders>
              <w:top w:val="single" w:sz="4" w:space="0" w:color="auto"/>
              <w:left w:val="nil"/>
              <w:bottom w:val="nil"/>
              <w:right w:val="nil"/>
            </w:tcBorders>
          </w:tcPr>
          <w:p w14:paraId="51CFE62B" w14:textId="77777777" w:rsidR="006A7AD8" w:rsidRPr="00B60475" w:rsidRDefault="006A7AD8" w:rsidP="00BB3C23">
            <w:pPr>
              <w:jc w:val="left"/>
              <w:rPr>
                <w:rFonts w:asciiTheme="minorHAnsi" w:hAnsiTheme="minorHAnsi" w:cstheme="minorHAnsi"/>
                <w:sz w:val="24"/>
                <w:szCs w:val="24"/>
              </w:rPr>
            </w:pPr>
          </w:p>
        </w:tc>
      </w:tr>
    </w:tbl>
    <w:tbl>
      <w:tblPr>
        <w:tblStyle w:val="TableGrid"/>
        <w:tblW w:w="0" w:type="auto"/>
        <w:tblInd w:w="284" w:type="dxa"/>
        <w:tblLayout w:type="fixed"/>
        <w:tblLook w:val="04A0" w:firstRow="1" w:lastRow="0" w:firstColumn="1" w:lastColumn="0" w:noHBand="0" w:noVBand="1"/>
      </w:tblPr>
      <w:tblGrid>
        <w:gridCol w:w="689"/>
        <w:gridCol w:w="6110"/>
        <w:gridCol w:w="1145"/>
        <w:gridCol w:w="1782"/>
      </w:tblGrid>
      <w:tr w:rsidR="00543B6A" w:rsidRPr="00B60475" w14:paraId="49F1DB55" w14:textId="77777777" w:rsidTr="009E3C35">
        <w:trPr>
          <w:tblHeader/>
          <w:tblHeader w:val="true"/>
        </w:trPr>
        <w:tc>
          <w:tcPr>
            <w:tcW w:w="689" w:type="dxa"/>
            <w:shd w:val="clear" w:color="auto" w:fill="C6F4F1"/>
          </w:tcPr>
          <w:p w14:paraId="07D4BBEF" w14:textId="77777777" w:rsidR="009330D4" w:rsidRPr="00B60475" w:rsidRDefault="00000000" w:rsidP="0041136E">
            <w:pPr>
              <w:jc w:val="left"/>
              <w:rPr>
                <w:rFonts w:asciiTheme="minorHAnsi" w:hAnsiTheme="minorHAnsi" w:cstheme="minorHAnsi"/>
                <w:sz w:val="24"/>
                <w:szCs w:val="24"/>
              </w:rPr>
            </w:pPr>
            <w:r w:rsidRPr="00B60475">
              <w:rPr>
                <w:rFonts w:asciiTheme="minorHAnsi" w:hAnsiTheme="minorHAnsi" w:cstheme="minorHAnsi" w:ascii="Calibri" w:hAnsi="Calibri"/>
                <w:b/>
                <w:sz w:val="24"/>
                <w:szCs w:val="24"/>
              </w:rPr>
              <w:t>Step</w:t>
            </w:r>
          </w:p>
        </w:tc>
        <w:tc>
          <w:tcPr>
            <w:tcW w:w="6110" w:type="dxa"/>
            <w:shd w:val="clear" w:color="auto" w:fill="C6F4F1"/>
          </w:tcPr>
          <w:p w14:paraId="073A87AF" w14:textId="77777777" w:rsidR="009330D4" w:rsidRPr="00B60475" w:rsidRDefault="00000000" w:rsidP="0041136E">
            <w:pPr>
              <w:jc w:val="left"/>
              <w:rPr>
                <w:rFonts w:asciiTheme="minorHAnsi" w:hAnsiTheme="minorHAnsi" w:cstheme="minorHAnsi"/>
                <w:sz w:val="24"/>
                <w:szCs w:val="24"/>
              </w:rPr>
            </w:pPr>
            <w:r w:rsidRPr="00B60475">
              <w:rPr>
                <w:rFonts w:asciiTheme="minorHAnsi" w:hAnsiTheme="minorHAnsi" w:cstheme="minorHAnsi" w:ascii="Calibri" w:hAnsi="Calibri"/>
                <w:b/>
                <w:sz w:val="24"/>
                <w:szCs w:val="24"/>
              </w:rPr>
              <w:t>Activity</w:t>
            </w:r>
          </w:p>
        </w:tc>
        <w:tc>
          <w:tcPr>
            <w:tcW w:w="1145" w:type="dxa"/>
            <w:shd w:val="clear" w:color="auto" w:fill="C6F4F1"/>
          </w:tcPr>
          <w:p w14:paraId="6B73FF77" w14:textId="77777777" w:rsidR="009330D4" w:rsidRPr="00B60475" w:rsidRDefault="00000000" w:rsidP="0041136E">
            <w:pPr>
              <w:jc w:val="left"/>
              <w:rPr>
                <w:rFonts w:asciiTheme="minorHAnsi" w:hAnsiTheme="minorHAnsi" w:cstheme="minorHAnsi"/>
                <w:sz w:val="24"/>
                <w:szCs w:val="24"/>
              </w:rPr>
            </w:pPr>
            <w:r w:rsidRPr="00B60475">
              <w:rPr>
                <w:rFonts w:asciiTheme="minorHAnsi" w:hAnsiTheme="minorHAnsi" w:cstheme="minorHAnsi" w:ascii="Calibri" w:hAnsi="Calibri"/>
                <w:b/>
                <w:sz w:val="24"/>
                <w:szCs w:val="24"/>
              </w:rPr>
              <w:t>PIC</w:t>
            </w:r>
          </w:p>
        </w:tc>
        <w:tc>
          <w:tcPr>
            <w:tcW w:w="1782" w:type="dxa"/>
            <w:shd w:val="clear" w:color="auto" w:fill="C6F4F1"/>
          </w:tcPr>
          <w:p w14:paraId="5C1C6F97" w14:textId="77777777" w:rsidR="009330D4" w:rsidRPr="00B60475" w:rsidRDefault="00000000" w:rsidP="0041136E">
            <w:pPr>
              <w:jc w:val="left"/>
              <w:rPr>
                <w:rFonts w:asciiTheme="minorHAnsi" w:hAnsiTheme="minorHAnsi" w:cstheme="minorHAnsi"/>
                <w:sz w:val="24"/>
                <w:szCs w:val="24"/>
              </w:rPr>
            </w:pPr>
            <w:r w:rsidRPr="00B60475">
              <w:rPr>
                <w:rFonts w:asciiTheme="minorHAnsi" w:hAnsiTheme="minorHAnsi" w:cstheme="minorHAnsi" w:ascii="Calibri" w:hAnsi="Calibri"/>
                <w:b/>
                <w:sz w:val="24"/>
                <w:szCs w:val="24"/>
              </w:rPr>
              <w:t>Reference</w:t>
            </w:r>
          </w:p>
        </w:tc>
      </w:tr>
      <w:tr w:rsidR="00C25E08" w:rsidRPr="00B60475" w14:paraId="2FCA0D88" w14:textId="77777777">
        <w:trPr>
          <w:cantSplit/>
          <w:cantSplit w:val="true"/>
        </w:trPr>
        <w:tc>
          <w:tcPr>
            <w:tcW w:w="689" w:type="dxa"/>
          </w:tcPr>
          <w:p w14:paraId="5A7F0DCF" w14:textId="2DE1E5B1" w:rsidR="00C25E08" w:rsidRPr="00C25E08" w:rsidRDefault="00C25E08" w:rsidP="00C25E08">
            <w:pPr>
              <w:jc w:val="left"/>
              <w:rPr>
                <w:rFonts w:asciiTheme="minorHAnsi" w:hAnsiTheme="minorHAnsi" w:cstheme="minorHAnsi"/>
                <w:bCs/>
                <w:sz w:val="24"/>
                <w:szCs w:val="24"/>
              </w:rPr>
            </w:pPr>
            <w:r w:rsidRPr="00C25E08">
              <w:rPr>
                <w:rFonts w:asciiTheme="minorHAnsi" w:hAnsiTheme="minorHAnsi" w:cstheme="minorHAnsi" w:ascii="Calibri" w:hAnsi="Calibri"/>
                <w:bCs/>
                <w:sz w:val="24"/>
                <w:szCs w:val="24"/>
              </w:rPr>
              <w:t>1</w:t>
            </w:r>
          </w:p>
        </w:tc>
        <w:tc>
          <w:tcPr>
            <w:tcW w:w="6110" w:type="dxa"/>
            <w:vAlign w:val="top"/>
          </w:tcPr>
          <w:p>
            <w:pPr>
              <w:spacing w:before="0" w:after="60" w:line="240" w:lineRule="auto"/>
              <w:jc w:val="left"/>
            </w:pPr>
            <w:r>
              <w:rPr>
                <w:rFonts w:ascii="Calibri" w:hAnsi="Calibri"/>
                <w:sz w:val="24"/>
              </w:rPr>
            </w:r>
            <w:r>
              <w:rPr>
                <w:rFonts w:ascii="Calibri" w:hAnsi="Calibri"/>
                <w:b/>
                <w:sz w:val="24"/>
              </w:rPr>
              <w:t>1  Context of the Organisation and Company Profile</w:t>
            </w:r>
          </w:p>
          <w:p>
            <w:pPr>
              <w:spacing w:before="0" w:after="60" w:line="240" w:lineRule="auto"/>
              <w:jc w:val="left"/>
            </w:pPr>
            <w:r>
              <w:rPr>
                <w:rFonts w:ascii="Calibri" w:hAnsi="Calibri"/>
                <w:b/>
                <w:sz w:val="24"/>
              </w:rPr>
              <w:t>1.1  Company Profile</w:t>
            </w:r>
          </w:p>
          <w:p>
            <w:pPr>
              <w:spacing w:before="0" w:after="60" w:line="240" w:lineRule="auto"/>
              <w:ind w:left="280" w:hanging="140"/>
              <w:jc w:val="left"/>
            </w:pPr>
            <w:r>
              <w:rPr>
                <w:rFonts w:ascii="Calibri" w:hAnsi="Calibri"/>
                <w:b w:val="0"/>
                <w:sz w:val="24"/>
              </w:rPr>
              <w:t>(a) The Company is a Bursa Malaysia listed M&amp;E engineering and contracting organisation that supplies, installs, tests, commissions, maintains and services M&amp;E systems in Malaysia and overseas.</w:t>
            </w:r>
          </w:p>
          <w:p>
            <w:pPr>
              <w:spacing w:before="0" w:after="60" w:line="240" w:lineRule="auto"/>
              <w:ind w:left="280" w:hanging="140"/>
              <w:jc w:val="left"/>
            </w:pPr>
            <w:r>
              <w:rPr>
                <w:rFonts w:ascii="Calibri" w:hAnsi="Calibri"/>
                <w:b w:val="0"/>
                <w:sz w:val="24"/>
              </w:rPr>
              <w:t>(b) Its operations are supported by management, engineers, competent persons, SHO personnel, supervisors, workers, suppliers and subcontractors.</w:t>
            </w:r>
          </w:p>
          <w:p>
            <w:pPr>
              <w:spacing w:before="0" w:after="60" w:line="240" w:lineRule="auto"/>
              <w:jc w:val="left"/>
            </w:pPr>
            <w:r>
              <w:rPr>
                <w:rFonts w:ascii="Calibri" w:hAnsi="Calibri"/>
                <w:b/>
                <w:sz w:val="24"/>
              </w:rPr>
              <w:t>1.2  Operational Sectors</w:t>
            </w:r>
          </w:p>
          <w:p>
            <w:pPr>
              <w:spacing w:before="0" w:after="60" w:line="240" w:lineRule="auto"/>
              <w:ind w:left="280" w:hanging="140"/>
              <w:jc w:val="left"/>
            </w:pPr>
            <w:r>
              <w:rPr>
                <w:rFonts w:ascii="Calibri" w:hAnsi="Calibri"/>
                <w:b w:val="0"/>
                <w:sz w:val="24"/>
              </w:rPr>
              <w:t>(a) The Company undertakes 132 kV and 33/11 kV substations, manufacturing plants, industrial and green plants, utility infrastructure, commercial and residential developments, service and maintenance works and data centres.</w:t>
            </w:r>
          </w:p>
          <w:p>
            <w:pPr>
              <w:spacing w:before="0" w:after="60" w:line="240" w:lineRule="auto"/>
              <w:ind w:left="280" w:hanging="140"/>
              <w:jc w:val="left"/>
            </w:pPr>
            <w:r>
              <w:rPr>
                <w:rFonts w:ascii="Calibri" w:hAnsi="Calibri"/>
                <w:b w:val="0"/>
                <w:sz w:val="24"/>
              </w:rPr>
              <w:t>(b) Key exposures include electrical energy, work at height, lifting, excavation, confined spaces, hot work, chemicals, construction plant and testing or energisation.</w:t>
            </w:r>
          </w:p>
        </w:tc>
        <w:tc>
          <w:tcPr>
            <w:tcW w:w="1145" w:type="dxa"/>
          </w:tcPr>
          <w:p w14:paraId="0AFC831A" w14:textId="76FFAFE7" w:rsidR="00C25E08" w:rsidRPr="00B60475" w:rsidRDefault="00C25E08"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MD / ED / IM</w:t>
            </w:r>
          </w:p>
        </w:tc>
        <w:tc>
          <w:tcPr>
            <w:tcW w:w="1782" w:type="dxa"/>
          </w:tcPr>
          <w:p w14:paraId="143E297B" w14:textId="2EE91446" w:rsidR="00C25E08" w:rsidRPr="00B60475" w:rsidRDefault="00C25E08"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OHSMS-01; OHSMS-04B; OHSMS-04E</w:t>
            </w:r>
          </w:p>
        </w:tc>
      </w:tr>
      <w:tr w:rsidR="0041136E" w:rsidRPr="00B60475" w14:paraId="17BAD31E" w14:textId="77777777">
        <w:trPr>
          <w:cantSplit/>
          <w:cantSplit w:val="true"/>
        </w:trPr>
        <w:tc>
          <w:tcPr>
            <w:tcW w:w="689" w:type="dxa"/>
          </w:tcPr>
          <w:p w14:paraId="5E781FCC" w14:textId="00BB679B" w:rsidR="0041136E" w:rsidRPr="00B60475" w:rsidRDefault="0041136E" w:rsidP="0041136E">
            <w:pPr>
              <w:jc w:val="left"/>
              <w:rPr>
                <w:rFonts w:asciiTheme="minorHAnsi" w:hAnsiTheme="minorHAnsi" w:cstheme="minorHAnsi"/>
                <w:sz w:val="24"/>
                <w:szCs w:val="24"/>
              </w:rPr>
            </w:pPr>
          </w:p>
        </w:tc>
        <w:tc>
          <w:tcPr>
            <w:tcW w:w="6110" w:type="dxa"/>
            <w:vAlign w:val="top"/>
          </w:tcPr>
          <w:p>
            <w:pPr>
              <w:spacing w:before="0" w:after="60" w:line="240" w:lineRule="auto"/>
              <w:jc w:val="left"/>
            </w:pPr>
            <w:r>
              <w:rPr>
                <w:rFonts w:ascii="Calibri" w:hAnsi="Calibri"/>
                <w:sz w:val="24"/>
              </w:rPr>
            </w:r>
            <w:r>
              <w:rPr>
                <w:rFonts w:ascii="Calibri" w:hAnsi="Calibri"/>
                <w:b/>
                <w:sz w:val="24"/>
              </w:rPr>
              <w:t>1.3  Organisational Capability</w:t>
            </w:r>
          </w:p>
          <w:p>
            <w:pPr>
              <w:spacing w:before="0" w:after="60" w:line="240" w:lineRule="auto"/>
              <w:ind w:left="280" w:hanging="140"/>
              <w:jc w:val="left"/>
            </w:pPr>
            <w:r>
              <w:rPr>
                <w:rFonts w:ascii="Calibri" w:hAnsi="Calibri"/>
                <w:b w:val="0"/>
                <w:sz w:val="24"/>
              </w:rPr>
              <w:t>(a) The Company maintains competent leadership, technical personnel, SHO resources, supervision and specialist support appropriate to its work.</w:t>
            </w:r>
          </w:p>
          <w:p>
            <w:pPr>
              <w:spacing w:before="0" w:after="60" w:line="240" w:lineRule="auto"/>
              <w:ind w:left="280" w:hanging="140"/>
              <w:jc w:val="left"/>
            </w:pPr>
            <w:r>
              <w:rPr>
                <w:rFonts w:ascii="Calibri" w:hAnsi="Calibri"/>
                <w:b w:val="0"/>
                <w:sz w:val="24"/>
              </w:rPr>
              <w:t>(b) Project controls include HIRARC, method statements, permits, electrical safety rules, emergency plans and client requirements.</w:t>
            </w:r>
          </w:p>
          <w:p>
            <w:pPr>
              <w:spacing w:before="0" w:after="60" w:line="240" w:lineRule="auto"/>
              <w:jc w:val="left"/>
            </w:pPr>
            <w:r>
              <w:rPr>
                <w:rFonts w:ascii="Calibri" w:hAnsi="Calibri"/>
                <w:b/>
                <w:sz w:val="24"/>
              </w:rPr>
              <w:t>1.4  Strategic and OHSMS Context</w:t>
            </w:r>
          </w:p>
          <w:p>
            <w:pPr>
              <w:spacing w:before="0" w:after="60" w:line="240" w:lineRule="auto"/>
              <w:ind w:left="280" w:hanging="140"/>
              <w:jc w:val="left"/>
            </w:pPr>
            <w:r>
              <w:rPr>
                <w:rFonts w:ascii="Calibri" w:hAnsi="Calibri"/>
                <w:b w:val="0"/>
                <w:sz w:val="24"/>
              </w:rPr>
              <w:t>(a) Top Management shall consider governance, finances, project portfolio, technology, competence, contractor reliance, safety culture and geographic coverage when making business decisions.</w:t>
            </w:r>
          </w:p>
          <w:p>
            <w:pPr>
              <w:spacing w:before="0" w:after="60" w:line="240" w:lineRule="auto"/>
              <w:ind w:left="280" w:hanging="140"/>
              <w:jc w:val="left"/>
            </w:pPr>
            <w:r>
              <w:rPr>
                <w:rFonts w:ascii="Calibri" w:hAnsi="Calibri"/>
                <w:b w:val="0"/>
                <w:sz w:val="24"/>
              </w:rPr>
              <w:t>(b) Adequate resources and safety-critical controls shall be maintained during tendering, planning, restructuring, investment and entry into new markets.</w:t>
            </w:r>
          </w:p>
        </w:tc>
        <w:tc>
          <w:tcPr>
            <w:tcW w:w="1145" w:type="dxa"/>
          </w:tcPr>
          <w:p w14:paraId="4164EB03" w14:textId="5561F080"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MD / ED / IM</w:t>
            </w:r>
          </w:p>
        </w:tc>
        <w:tc>
          <w:tcPr>
            <w:tcW w:w="1782" w:type="dxa"/>
          </w:tcPr>
          <w:p w14:paraId="5798B093" w14:textId="215258A3"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OHSMS-01; OHSMS-04B; OHSMS-04E</w:t>
            </w:r>
          </w:p>
        </w:tc>
      </w:tr>
      <w:tr w:rsidR="0041136E" w:rsidRPr="00B60475" w14:paraId="17F94373" w14:textId="77777777">
        <w:trPr>
          <w:cantSplit/>
          <w:cantSplit w:val="true"/>
        </w:trPr>
        <w:tc>
          <w:tcPr>
            <w:tcW w:w="689" w:type="dxa"/>
          </w:tcPr>
          <w:p w14:paraId="7FCDAF07" w14:textId="172D9C89" w:rsidR="0041136E" w:rsidRPr="00B60475" w:rsidRDefault="0041136E" w:rsidP="0041136E">
            <w:pPr>
              <w:spacing w:before="840"/>
              <w:jc w:val="left"/>
              <w:rPr>
                <w:rFonts w:asciiTheme="minorHAnsi" w:hAnsiTheme="minorHAnsi" w:cstheme="minorHAnsi"/>
                <w:sz w:val="24"/>
                <w:szCs w:val="24"/>
              </w:rPr>
            </w:pPr>
            <w:r>
              <w:rPr>
                <w:rFonts w:asciiTheme="minorHAnsi" w:hAnsiTheme="minorHAnsi" w:cstheme="minorHAnsi" w:ascii="Calibri" w:hAnsi="Calibri"/>
                <w:sz w:val="24"/>
                <w:szCs w:val="24"/>
              </w:rPr>
              <w:t>2</w:t>
            </w:r>
          </w:p>
        </w:tc>
        <w:tc>
          <w:tcPr>
            <w:tcW w:w="6110" w:type="dxa"/>
            <w:vAlign w:val="top"/>
          </w:tcPr>
          <w:p>
            <w:pPr>
              <w:pageBreakBefore/>
              <w:spacing w:before="840" w:after="60" w:line="240" w:lineRule="auto"/>
              <w:jc w:val="left"/>
            </w:pPr>
            <w:r>
              <w:rPr>
                <w:rFonts w:ascii="Calibri" w:hAnsi="Calibri"/>
                <w:sz w:val="24"/>
              </w:rPr>
            </w:r>
            <w:r>
              <w:rPr>
                <w:rFonts w:ascii="Calibri" w:hAnsi="Calibri"/>
                <w:b/>
                <w:sz w:val="24"/>
              </w:rPr>
              <w:t>2  External and Internal Issues Affecting the Company</w:t>
            </w:r>
          </w:p>
          <w:p>
            <w:pPr>
              <w:spacing w:before="0" w:after="60" w:line="240" w:lineRule="auto"/>
              <w:jc w:val="left"/>
            </w:pPr>
            <w:r>
              <w:rPr>
                <w:rFonts w:ascii="Calibri" w:hAnsi="Calibri"/>
                <w:b/>
                <w:sz w:val="24"/>
              </w:rPr>
              <w:t>2.1  Determination of Issues</w:t>
            </w:r>
          </w:p>
          <w:p>
            <w:pPr>
              <w:spacing w:before="0" w:after="60" w:line="240" w:lineRule="auto"/>
              <w:ind w:left="280" w:hanging="140"/>
              <w:jc w:val="left"/>
            </w:pPr>
            <w:r>
              <w:rPr>
                <w:rFonts w:ascii="Calibri" w:hAnsi="Calibri"/>
                <w:b w:val="0"/>
                <w:sz w:val="24"/>
              </w:rPr>
              <w:t>(a) The Company shall determine issues that can affect the intended outcomes of the OHSMS.</w:t>
            </w:r>
          </w:p>
          <w:p>
            <w:pPr>
              <w:spacing w:before="0" w:after="60" w:line="240" w:lineRule="auto"/>
              <w:ind w:left="280" w:hanging="140"/>
              <w:jc w:val="left"/>
            </w:pPr>
            <w:r>
              <w:rPr>
                <w:rFonts w:ascii="Calibri" w:hAnsi="Calibri"/>
                <w:b w:val="0"/>
                <w:sz w:val="24"/>
              </w:rPr>
              <w:t>(b) External issues shall be reviewed using PESTLE and shall include:</w:t>
            </w:r>
          </w:p>
          <w:p>
            <w:pPr>
              <w:spacing w:before="0" w:after="60" w:line="240" w:lineRule="auto"/>
              <w:ind w:left="480" w:hanging="160"/>
              <w:jc w:val="left"/>
            </w:pPr>
            <w:r>
              <w:rPr>
                <w:rFonts w:ascii="Calibri" w:hAnsi="Calibri"/>
                <w:b w:val="0"/>
                <w:sz w:val="24"/>
              </w:rPr>
              <w:t>(i) Government policy, economic conditions, workforce trends, technology and legal changes.</w:t>
            </w:r>
          </w:p>
          <w:p>
            <w:pPr>
              <w:spacing w:before="0" w:after="60" w:line="240" w:lineRule="auto"/>
              <w:ind w:left="480" w:hanging="160"/>
              <w:jc w:val="left"/>
            </w:pPr>
            <w:r>
              <w:rPr>
                <w:rFonts w:ascii="Calibri" w:hAnsi="Calibri"/>
                <w:b w:val="0"/>
                <w:sz w:val="24"/>
              </w:rPr>
              <w:t>(ii) Climate, severe weather, supply-chain conditions, client expectations and overseas requirements.</w:t>
            </w:r>
          </w:p>
          <w:p>
            <w:pPr>
              <w:spacing w:before="0" w:after="60" w:line="240" w:lineRule="auto"/>
              <w:ind w:left="280" w:hanging="140"/>
              <w:jc w:val="left"/>
            </w:pPr>
            <w:r>
              <w:rPr>
                <w:rFonts w:ascii="Calibri" w:hAnsi="Calibri"/>
                <w:b w:val="0"/>
                <w:sz w:val="24"/>
              </w:rPr>
              <w:t>(c) Internal issues shall be reviewed using SWOT and shall include governance, resources, competence, culture, communication, contractor control, organisational knowledge and OHS performance.</w:t>
            </w:r>
          </w:p>
        </w:tc>
        <w:tc>
          <w:tcPr>
            <w:tcW w:w="1145" w:type="dxa"/>
          </w:tcPr>
          <w:p w14:paraId="45985858" w14:textId="24FCCFF4" w:rsidR="0041136E" w:rsidRPr="00B60475" w:rsidRDefault="0041136E" w:rsidP="0041136E">
            <w:pPr>
              <w:spacing w:before="840"/>
              <w:jc w:val="left"/>
              <w:rPr>
                <w:rFonts w:asciiTheme="minorHAnsi" w:hAnsiTheme="minorHAnsi" w:cstheme="minorHAnsi"/>
                <w:sz w:val="24"/>
                <w:szCs w:val="24"/>
              </w:rPr>
            </w:pPr>
            <w:r w:rsidRPr="00B60475">
              <w:rPr>
                <w:rFonts w:asciiTheme="minorHAnsi" w:hAnsiTheme="minorHAnsi" w:cstheme="minorHAnsi" w:ascii="Calibri" w:hAnsi="Calibri"/>
                <w:sz w:val="24"/>
                <w:szCs w:val="24"/>
              </w:rPr>
              <w:t xml:space="preserve">MD / ED / IM / </w:t>
            </w:r>
            <w:r w:rsidR="007E7DD1">
              <w:rPr>
                <w:rFonts w:asciiTheme="minorHAnsi" w:hAnsiTheme="minorHAnsi" w:cstheme="minorHAnsi" w:ascii="Calibri" w:hAnsi="Calibri"/>
                <w:sz w:val="24"/>
                <w:szCs w:val="24"/>
              </w:rPr>
              <w:t>SHO</w:t>
            </w:r>
          </w:p>
        </w:tc>
        <w:tc>
          <w:tcPr>
            <w:tcW w:w="1782" w:type="dxa"/>
          </w:tcPr>
          <w:p w14:paraId="00820B54" w14:textId="44005E13" w:rsidR="0041136E" w:rsidRPr="00B60475" w:rsidRDefault="0041136E" w:rsidP="0041136E">
            <w:pPr>
              <w:spacing w:before="840"/>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OHSMS-04B; OHSMS-06J; OHSMS-06K; OHSMS-09U</w:t>
            </w:r>
          </w:p>
        </w:tc>
      </w:tr>
      <w:tr w:rsidR="0041136E" w:rsidRPr="00B60475" w14:paraId="18707EEA" w14:textId="77777777">
        <w:trPr>
          <w:cantSplit/>
          <w:cantSplit w:val="true"/>
        </w:trPr>
        <w:tc>
          <w:tcPr>
            <w:tcW w:w="689" w:type="dxa"/>
          </w:tcPr>
          <w:p w14:paraId="01E1E585" w14:textId="69AA9E7A" w:rsidR="0041136E" w:rsidRPr="00B60475" w:rsidRDefault="0041136E" w:rsidP="0041136E">
            <w:pPr>
              <w:jc w:val="left"/>
              <w:rPr>
                <w:rFonts w:asciiTheme="minorHAnsi" w:hAnsiTheme="minorHAnsi" w:cstheme="minorHAnsi"/>
                <w:sz w:val="24"/>
                <w:szCs w:val="24"/>
              </w:rPr>
            </w:pPr>
          </w:p>
        </w:tc>
        <w:tc>
          <w:tcPr>
            <w:tcW w:w="6110" w:type="dxa"/>
            <w:vAlign w:val="top"/>
          </w:tcPr>
          <w:p>
            <w:pPr>
              <w:spacing w:before="0" w:after="60" w:line="240" w:lineRule="auto"/>
              <w:jc w:val="left"/>
            </w:pPr>
            <w:r>
              <w:rPr>
                <w:rFonts w:ascii="Calibri" w:hAnsi="Calibri"/>
                <w:sz w:val="24"/>
              </w:rPr>
            </w:r>
            <w:r>
              <w:rPr>
                <w:rFonts w:ascii="Calibri" w:hAnsi="Calibri"/>
                <w:b/>
                <w:sz w:val="24"/>
              </w:rPr>
              <w:t>2.2  Climate Change</w:t>
            </w:r>
          </w:p>
          <w:p>
            <w:pPr>
              <w:spacing w:before="0" w:after="60" w:line="240" w:lineRule="auto"/>
              <w:ind w:left="280" w:hanging="140"/>
              <w:jc w:val="left"/>
            </w:pPr>
            <w:r>
              <w:rPr>
                <w:rFonts w:ascii="Calibri" w:hAnsi="Calibri"/>
                <w:b w:val="0"/>
                <w:sz w:val="24"/>
              </w:rPr>
              <w:t>(a) The Company shall determine whether climate change is relevant to its OHSMS as required by ISO 45001:2018/Amd 1:2024.</w:t>
            </w:r>
          </w:p>
          <w:p>
            <w:pPr>
              <w:spacing w:before="0" w:after="60" w:line="240" w:lineRule="auto"/>
              <w:ind w:left="280" w:hanging="140"/>
              <w:jc w:val="left"/>
            </w:pPr>
            <w:r>
              <w:rPr>
                <w:rFonts w:ascii="Calibri" w:hAnsi="Calibri"/>
                <w:b w:val="0"/>
                <w:sz w:val="24"/>
              </w:rPr>
              <w:t>(b) Relevant effects such as heat stress, flooding, lightning, high winds and haze shall be addressed through HIRARC, work planning, weather limits and emergency arrangements.</w:t>
            </w:r>
          </w:p>
          <w:p>
            <w:pPr>
              <w:spacing w:before="0" w:after="60" w:line="240" w:lineRule="auto"/>
              <w:jc w:val="left"/>
            </w:pPr>
            <w:r>
              <w:rPr>
                <w:rFonts w:ascii="Calibri" w:hAnsi="Calibri"/>
                <w:b/>
                <w:sz w:val="24"/>
              </w:rPr>
              <w:t>2.3  Monitoring and Review</w:t>
            </w:r>
          </w:p>
          <w:p>
            <w:pPr>
              <w:spacing w:before="0" w:after="60" w:line="240" w:lineRule="auto"/>
              <w:ind w:left="280" w:hanging="140"/>
              <w:jc w:val="left"/>
            </w:pPr>
            <w:r>
              <w:rPr>
                <w:rFonts w:ascii="Calibri" w:hAnsi="Calibri"/>
                <w:b w:val="0"/>
                <w:sz w:val="24"/>
              </w:rPr>
              <w:t>(a) The ISO Manager shall coordinate an annual review and an additional review following significant legal, organisational, technological, operational or environmental change.</w:t>
            </w:r>
          </w:p>
          <w:p>
            <w:pPr>
              <w:spacing w:before="0" w:after="60" w:line="240" w:lineRule="auto"/>
              <w:ind w:left="280" w:hanging="140"/>
              <w:jc w:val="left"/>
            </w:pPr>
            <w:r>
              <w:rPr>
                <w:rFonts w:ascii="Calibri" w:hAnsi="Calibri"/>
                <w:b w:val="0"/>
                <w:sz w:val="24"/>
              </w:rPr>
              <w:t>(b) Results shall be recorded in Annex B and considered when reviewing scope, objectives, risks and opportunities, legal requirements, controls and management review inputs.</w:t>
            </w:r>
          </w:p>
        </w:tc>
        <w:tc>
          <w:tcPr>
            <w:tcW w:w="1145" w:type="dxa"/>
          </w:tcPr>
          <w:p w14:paraId="68BE4E67" w14:textId="71CA0D3C"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 xml:space="preserve">MD / ED / IM / </w:t>
            </w:r>
            <w:r w:rsidR="007E7DD1">
              <w:rPr>
                <w:rFonts w:asciiTheme="minorHAnsi" w:hAnsiTheme="minorHAnsi" w:cstheme="minorHAnsi" w:ascii="Calibri" w:hAnsi="Calibri"/>
                <w:sz w:val="24"/>
                <w:szCs w:val="24"/>
              </w:rPr>
              <w:t>SHO</w:t>
            </w:r>
          </w:p>
        </w:tc>
        <w:tc>
          <w:tcPr>
            <w:tcW w:w="1782" w:type="dxa"/>
          </w:tcPr>
          <w:p w14:paraId="67D2AE2A" w14:textId="7EFEA60E"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OHSMS-04B; OHSMS-06J; OHSMS-06K; OHSMS-09U</w:t>
            </w:r>
          </w:p>
        </w:tc>
      </w:tr>
      <w:tr w:rsidR="0041136E" w:rsidRPr="00B60475" w14:paraId="37748A7D" w14:textId="77777777">
        <w:trPr>
          <w:cantSplit/>
          <w:cantSplit w:val="true"/>
        </w:trPr>
        <w:tc>
          <w:tcPr>
            <w:tcW w:w="689" w:type="dxa"/>
          </w:tcPr>
          <w:p w14:paraId="7541E5F6" w14:textId="3A1826A3" w:rsidR="0041136E" w:rsidRPr="00B60475" w:rsidRDefault="0041136E" w:rsidP="0041136E">
            <w:pPr>
              <w:jc w:val="left"/>
              <w:rPr>
                <w:rFonts w:asciiTheme="minorHAnsi" w:hAnsiTheme="minorHAnsi" w:cstheme="minorHAnsi"/>
                <w:sz w:val="24"/>
                <w:szCs w:val="24"/>
              </w:rPr>
            </w:pPr>
            <w:r>
              <w:rPr>
                <w:rFonts w:asciiTheme="minorHAnsi" w:hAnsiTheme="minorHAnsi" w:cstheme="minorHAnsi" w:ascii="Calibri" w:hAnsi="Calibri"/>
                <w:sz w:val="24"/>
                <w:szCs w:val="24"/>
              </w:rPr>
              <w:t>3</w:t>
            </w:r>
          </w:p>
        </w:tc>
        <w:tc>
          <w:tcPr>
            <w:tcW w:w="6110" w:type="dxa"/>
            <w:vAlign w:val="top"/>
          </w:tcPr>
          <w:p>
            <w:pPr>
              <w:spacing w:before="0" w:after="60" w:line="240" w:lineRule="auto"/>
              <w:jc w:val="left"/>
            </w:pPr>
            <w:r>
              <w:rPr>
                <w:rFonts w:ascii="Calibri" w:hAnsi="Calibri"/>
                <w:sz w:val="24"/>
              </w:rPr>
            </w:r>
            <w:r>
              <w:rPr>
                <w:rFonts w:ascii="Calibri" w:hAnsi="Calibri"/>
                <w:b/>
                <w:sz w:val="24"/>
              </w:rPr>
              <w:t>3  Needs and Expectations of Workers and Other Interested Parties</w:t>
            </w:r>
          </w:p>
          <w:p>
            <w:pPr>
              <w:spacing w:before="0" w:after="60" w:line="240" w:lineRule="auto"/>
              <w:jc w:val="left"/>
            </w:pPr>
            <w:r>
              <w:rPr>
                <w:rFonts w:ascii="Calibri" w:hAnsi="Calibri"/>
                <w:b/>
                <w:sz w:val="24"/>
              </w:rPr>
              <w:t>3.1  Identification of Interested Parties</w:t>
            </w:r>
          </w:p>
          <w:p>
            <w:pPr>
              <w:spacing w:before="0" w:after="60" w:line="240" w:lineRule="auto"/>
              <w:ind w:left="280" w:hanging="140"/>
              <w:jc w:val="left"/>
            </w:pPr>
            <w:r>
              <w:rPr>
                <w:rFonts w:ascii="Calibri" w:hAnsi="Calibri"/>
                <w:b w:val="0"/>
                <w:sz w:val="24"/>
              </w:rPr>
              <w:t>(a) The Company shall identify workers and other interested parties relevant to the OHSMS and determine which needs and expectations are legal or other requirements.</w:t>
            </w:r>
          </w:p>
          <w:p>
            <w:pPr>
              <w:spacing w:before="0" w:after="60" w:line="240" w:lineRule="auto"/>
              <w:ind w:left="280" w:hanging="140"/>
              <w:jc w:val="left"/>
            </w:pPr>
            <w:r>
              <w:rPr>
                <w:rFonts w:ascii="Calibri" w:hAnsi="Calibri"/>
                <w:b w:val="0"/>
                <w:sz w:val="24"/>
              </w:rPr>
              <w:t>(b) Relevant parties include:</w:t>
            </w:r>
          </w:p>
          <w:p>
            <w:pPr>
              <w:spacing w:before="0" w:after="60" w:line="240" w:lineRule="auto"/>
              <w:ind w:left="480" w:hanging="160"/>
              <w:jc w:val="left"/>
            </w:pPr>
            <w:r>
              <w:rPr>
                <w:rFonts w:ascii="Calibri" w:hAnsi="Calibri"/>
                <w:b w:val="0"/>
                <w:sz w:val="24"/>
              </w:rPr>
              <w:t>(i) Employees, non-managerial workers, worker representatives, contractors and subcontractors.</w:t>
            </w:r>
          </w:p>
          <w:p>
            <w:pPr>
              <w:spacing w:before="0" w:after="60" w:line="240" w:lineRule="auto"/>
              <w:ind w:left="480" w:hanging="160"/>
              <w:jc w:val="left"/>
            </w:pPr>
            <w:r>
              <w:rPr>
                <w:rFonts w:ascii="Calibri" w:hAnsi="Calibri"/>
                <w:b w:val="0"/>
                <w:sz w:val="24"/>
              </w:rPr>
              <w:t>(ii) Clients, consultants, designers, suppliers, regulators and emergency services.</w:t>
            </w:r>
          </w:p>
          <w:p>
            <w:pPr>
              <w:spacing w:before="0" w:after="60" w:line="240" w:lineRule="auto"/>
              <w:ind w:left="480" w:hanging="160"/>
              <w:jc w:val="left"/>
            </w:pPr>
            <w:r>
              <w:rPr>
                <w:rFonts w:ascii="Calibri" w:hAnsi="Calibri"/>
                <w:b w:val="0"/>
                <w:sz w:val="24"/>
              </w:rPr>
              <w:t>(iii) Utility owners, investors, insurers, certification bodies, communities, occupants and overseas authorities.</w:t>
            </w:r>
          </w:p>
        </w:tc>
        <w:tc>
          <w:tcPr>
            <w:tcW w:w="1145" w:type="dxa"/>
          </w:tcPr>
          <w:p w14:paraId="5E328554" w14:textId="677200FE"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 xml:space="preserve">MD / IM / </w:t>
            </w:r>
            <w:r w:rsidR="007E7DD1">
              <w:rPr>
                <w:rFonts w:asciiTheme="minorHAnsi" w:hAnsiTheme="minorHAnsi" w:cstheme="minorHAnsi" w:ascii="Calibri" w:hAnsi="Calibri"/>
                <w:sz w:val="24"/>
                <w:szCs w:val="24"/>
              </w:rPr>
              <w:t>SHO</w:t>
            </w:r>
            <w:r w:rsidRPr="00B60475">
              <w:rPr>
                <w:rFonts w:asciiTheme="minorHAnsi" w:hAnsiTheme="minorHAnsi" w:cstheme="minorHAnsi" w:ascii="Calibri" w:hAnsi="Calibri"/>
                <w:sz w:val="24"/>
                <w:szCs w:val="24"/>
              </w:rPr>
              <w:t xml:space="preserve"> / Process Owners</w:t>
            </w:r>
          </w:p>
        </w:tc>
        <w:tc>
          <w:tcPr>
            <w:tcW w:w="1782" w:type="dxa"/>
          </w:tcPr>
          <w:p w14:paraId="5331C58D" w14:textId="59741A94"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OHSMS-04C; OHSMS-05I; OHSMS-06K</w:t>
            </w:r>
          </w:p>
        </w:tc>
      </w:tr>
      <w:tr w:rsidR="0041136E" w:rsidRPr="00B60475" w14:paraId="05EA5601" w14:textId="77777777">
        <w:trPr>
          <w:cantSplit/>
          <w:cantSplit w:val="true"/>
        </w:trPr>
        <w:tc>
          <w:tcPr>
            <w:tcW w:w="689" w:type="dxa"/>
          </w:tcPr>
          <w:p w14:paraId="0CF1B634" w14:textId="2539028E" w:rsidR="0041136E" w:rsidRPr="00B60475" w:rsidRDefault="0041136E" w:rsidP="0041136E">
            <w:pPr>
              <w:jc w:val="left"/>
              <w:rPr>
                <w:rFonts w:asciiTheme="minorHAnsi" w:hAnsiTheme="minorHAnsi" w:cstheme="minorHAnsi"/>
                <w:sz w:val="24"/>
                <w:szCs w:val="24"/>
              </w:rPr>
            </w:pPr>
          </w:p>
        </w:tc>
        <w:tc>
          <w:tcPr>
            <w:tcW w:w="6110" w:type="dxa"/>
            <w:vAlign w:val="top"/>
          </w:tcPr>
          <w:p>
            <w:pPr>
              <w:spacing w:before="0" w:after="60" w:line="240" w:lineRule="auto"/>
              <w:jc w:val="left"/>
            </w:pPr>
            <w:r>
              <w:rPr>
                <w:rFonts w:ascii="Calibri" w:hAnsi="Calibri"/>
                <w:sz w:val="24"/>
              </w:rPr>
            </w:r>
            <w:r>
              <w:rPr>
                <w:rFonts w:ascii="Calibri" w:hAnsi="Calibri"/>
                <w:b/>
                <w:sz w:val="24"/>
              </w:rPr>
              <w:t>3.2  Workers</w:t>
            </w:r>
          </w:p>
          <w:p>
            <w:pPr>
              <w:spacing w:before="0" w:after="60" w:line="240" w:lineRule="auto"/>
              <w:ind w:left="280" w:hanging="140"/>
              <w:jc w:val="left"/>
            </w:pPr>
            <w:r>
              <w:rPr>
                <w:rFonts w:ascii="Calibri" w:hAnsi="Calibri"/>
                <w:b w:val="0"/>
                <w:sz w:val="24"/>
              </w:rPr>
              <w:t>(a) Workers expect safe working conditions, competent supervision, suitable equipment, consultation, welfare facilities and freedom to report hazards or stop unsafe work in good faith.</w:t>
            </w:r>
          </w:p>
          <w:p>
            <w:pPr>
              <w:spacing w:before="0" w:after="60" w:line="240" w:lineRule="auto"/>
              <w:ind w:left="280" w:hanging="140"/>
              <w:jc w:val="left"/>
            </w:pPr>
            <w:r>
              <w:rPr>
                <w:rFonts w:ascii="Calibri" w:hAnsi="Calibri"/>
                <w:b w:val="0"/>
                <w:sz w:val="24"/>
              </w:rPr>
              <w:t>(b) These needs shall be addressed through consultation, HIRARC, training, permits, health surveillance where applicable, reporting and corrective action.</w:t>
            </w:r>
          </w:p>
          <w:p>
            <w:pPr>
              <w:spacing w:before="0" w:after="60" w:line="240" w:lineRule="auto"/>
              <w:jc w:val="left"/>
            </w:pPr>
            <w:r>
              <w:rPr>
                <w:rFonts w:ascii="Calibri" w:hAnsi="Calibri"/>
                <w:b/>
                <w:sz w:val="24"/>
              </w:rPr>
              <w:t>3.3  Clients and Business Partners</w:t>
            </w:r>
          </w:p>
          <w:p>
            <w:pPr>
              <w:spacing w:before="0" w:after="60" w:line="240" w:lineRule="auto"/>
              <w:ind w:left="280" w:hanging="140"/>
              <w:jc w:val="left"/>
            </w:pPr>
            <w:r>
              <w:rPr>
                <w:rFonts w:ascii="Calibri" w:hAnsi="Calibri"/>
                <w:b w:val="0"/>
                <w:sz w:val="24"/>
              </w:rPr>
              <w:t>(a) Contract and project requirements shall be reviewed before acceptance and incorporated into project planning, high-risk work controls, incident reporting and emergency coordination.</w:t>
            </w:r>
          </w:p>
          <w:p>
            <w:pPr>
              <w:spacing w:before="0" w:after="60" w:line="240" w:lineRule="auto"/>
              <w:jc w:val="left"/>
            </w:pPr>
            <w:r>
              <w:rPr>
                <w:rFonts w:ascii="Calibri" w:hAnsi="Calibri"/>
                <w:b/>
                <w:sz w:val="24"/>
              </w:rPr>
              <w:t>3.4  Regulators and Public Authorities</w:t>
            </w:r>
          </w:p>
          <w:p>
            <w:pPr>
              <w:spacing w:before="0" w:after="60" w:line="240" w:lineRule="auto"/>
              <w:ind w:left="280" w:hanging="140"/>
              <w:jc w:val="left"/>
            </w:pPr>
            <w:r>
              <w:rPr>
                <w:rFonts w:ascii="Calibri" w:hAnsi="Calibri"/>
                <w:b w:val="0"/>
                <w:sz w:val="24"/>
              </w:rPr>
              <w:t>(a) The Company shall meet applicable registration, notification, competent-person, inspection, safe-work and record requirements of DOSH, ST, CIDB, BOMBA and other authorities.</w:t>
            </w:r>
          </w:p>
          <w:p>
            <w:pPr>
              <w:spacing w:before="0" w:after="60" w:line="240" w:lineRule="auto"/>
              <w:jc w:val="left"/>
            </w:pPr>
            <w:r>
              <w:rPr>
                <w:rFonts w:ascii="Calibri" w:hAnsi="Calibri"/>
                <w:b/>
                <w:sz w:val="24"/>
              </w:rPr>
              <w:t>3.5  Investors, Insurers and Communities</w:t>
            </w:r>
          </w:p>
          <w:p>
            <w:pPr>
              <w:spacing w:before="0" w:after="60" w:line="240" w:lineRule="auto"/>
              <w:ind w:left="280" w:hanging="140"/>
              <w:jc w:val="left"/>
            </w:pPr>
            <w:r>
              <w:rPr>
                <w:rFonts w:ascii="Calibri" w:hAnsi="Calibri"/>
                <w:b w:val="0"/>
                <w:sz w:val="24"/>
              </w:rPr>
              <w:t>(a) The Company shall support sound governance, protect people and assets and control community impacts such as traffic, noise, dust, fire, access and service interruption.</w:t>
            </w:r>
          </w:p>
          <w:p>
            <w:pPr>
              <w:spacing w:before="0" w:after="60" w:line="240" w:lineRule="auto"/>
              <w:jc w:val="left"/>
            </w:pPr>
            <w:r>
              <w:rPr>
                <w:rFonts w:ascii="Calibri" w:hAnsi="Calibri"/>
                <w:b/>
                <w:sz w:val="24"/>
              </w:rPr>
              <w:t>3.6  Climate-Related Requirements</w:t>
            </w:r>
          </w:p>
          <w:p>
            <w:pPr>
              <w:spacing w:before="0" w:after="60" w:line="240" w:lineRule="auto"/>
              <w:ind w:left="280" w:hanging="140"/>
              <w:jc w:val="left"/>
            </w:pPr>
            <w:r>
              <w:rPr>
                <w:rFonts w:ascii="Calibri" w:hAnsi="Calibri"/>
                <w:b w:val="0"/>
                <w:sz w:val="24"/>
              </w:rPr>
              <w:t>(a) Relevant climate-related requirements from clients, workers, regulators, investors and insurers shall be evaluated and addressed.</w:t>
            </w:r>
          </w:p>
        </w:tc>
        <w:tc>
          <w:tcPr>
            <w:tcW w:w="1145" w:type="dxa"/>
          </w:tcPr>
          <w:p w14:paraId="24D87282" w14:textId="194079F9"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 xml:space="preserve">MD / IM / </w:t>
            </w:r>
            <w:r w:rsidR="007E7DD1">
              <w:rPr>
                <w:rFonts w:asciiTheme="minorHAnsi" w:hAnsiTheme="minorHAnsi" w:cstheme="minorHAnsi" w:ascii="Calibri" w:hAnsi="Calibri"/>
                <w:sz w:val="24"/>
                <w:szCs w:val="24"/>
              </w:rPr>
              <w:t>SHO</w:t>
            </w:r>
            <w:r w:rsidRPr="00B60475">
              <w:rPr>
                <w:rFonts w:asciiTheme="minorHAnsi" w:hAnsiTheme="minorHAnsi" w:cstheme="minorHAnsi" w:ascii="Calibri" w:hAnsi="Calibri"/>
                <w:sz w:val="24"/>
                <w:szCs w:val="24"/>
              </w:rPr>
              <w:t xml:space="preserve"> / Process Owners</w:t>
            </w:r>
          </w:p>
        </w:tc>
        <w:tc>
          <w:tcPr>
            <w:tcW w:w="1782" w:type="dxa"/>
          </w:tcPr>
          <w:p w14:paraId="1EADA046" w14:textId="77777777"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OHSMS-04C; OHSMS-05I; OHSMS-06K</w:t>
            </w:r>
          </w:p>
        </w:tc>
      </w:tr>
      <w:tr w:rsidR="0041136E" w:rsidRPr="00B60475" w14:paraId="0F4CC0CA" w14:textId="77777777">
        <w:trPr>
          <w:cantSplit/>
          <w:cantSplit w:val="true"/>
        </w:trPr>
        <w:tc>
          <w:tcPr>
            <w:tcW w:w="689" w:type="dxa"/>
          </w:tcPr>
          <w:p w14:paraId="09F21D2A" w14:textId="77777777" w:rsidR="0041136E" w:rsidRPr="00B60475" w:rsidRDefault="0041136E" w:rsidP="0041136E">
            <w:pPr>
              <w:spacing w:before="840"/>
              <w:jc w:val="left"/>
              <w:rPr>
                <w:rFonts w:asciiTheme="minorHAnsi" w:hAnsiTheme="minorHAnsi" w:cstheme="minorHAnsi"/>
                <w:sz w:val="24"/>
                <w:szCs w:val="24"/>
              </w:rPr>
            </w:pPr>
            <w:r w:rsidRPr="00B60475">
              <w:rPr>
                <w:rFonts w:asciiTheme="minorHAnsi" w:hAnsiTheme="minorHAnsi" w:cstheme="minorHAnsi" w:ascii="Calibri" w:hAnsi="Calibri"/>
                <w:b/>
                <w:sz w:val="24"/>
                <w:szCs w:val="24"/>
              </w:rPr>
              <w:t>4</w:t>
            </w:r>
          </w:p>
        </w:tc>
        <w:tc>
          <w:tcPr>
            <w:tcW w:w="6110" w:type="dxa"/>
            <w:vAlign w:val="top"/>
          </w:tcPr>
          <w:p>
            <w:pPr>
              <w:pageBreakBefore/>
              <w:spacing w:before="840" w:after="60" w:line="240" w:lineRule="auto"/>
              <w:jc w:val="left"/>
            </w:pPr>
            <w:r>
              <w:rPr>
                <w:rFonts w:ascii="Calibri" w:hAnsi="Calibri"/>
                <w:sz w:val="24"/>
              </w:rPr>
            </w:r>
            <w:r>
              <w:rPr>
                <w:rFonts w:ascii="Calibri" w:hAnsi="Calibri"/>
                <w:b/>
                <w:sz w:val="24"/>
              </w:rPr>
              <w:t>4  Legal and Other Requirements</w:t>
            </w:r>
          </w:p>
          <w:p>
            <w:pPr>
              <w:spacing w:before="0" w:after="60" w:line="240" w:lineRule="auto"/>
              <w:jc w:val="left"/>
            </w:pPr>
            <w:r>
              <w:rPr>
                <w:rFonts w:ascii="Calibri" w:hAnsi="Calibri"/>
                <w:b/>
                <w:sz w:val="24"/>
              </w:rPr>
              <w:t>4.1  Applicable Requirements</w:t>
            </w:r>
          </w:p>
          <w:p>
            <w:pPr>
              <w:spacing w:before="0" w:after="60" w:line="240" w:lineRule="auto"/>
              <w:ind w:left="280" w:hanging="140"/>
              <w:jc w:val="left"/>
            </w:pPr>
            <w:r>
              <w:rPr>
                <w:rFonts w:ascii="Calibri" w:hAnsi="Calibri"/>
                <w:b w:val="0"/>
                <w:sz w:val="24"/>
              </w:rPr>
              <w:t>(a) The Company shall identify, access and keep current the laws and requirements applicable to its hazards, OHS risks and operations.</w:t>
            </w:r>
          </w:p>
          <w:p>
            <w:pPr>
              <w:spacing w:before="0" w:after="60" w:line="240" w:lineRule="auto"/>
              <w:ind w:left="280" w:hanging="140"/>
              <w:jc w:val="left"/>
            </w:pPr>
            <w:r>
              <w:rPr>
                <w:rFonts w:ascii="Calibri" w:hAnsi="Calibri"/>
                <w:b w:val="0"/>
                <w:sz w:val="24"/>
              </w:rPr>
              <w:t>(b) Applicable requirements may include:</w:t>
            </w:r>
          </w:p>
          <w:p>
            <w:pPr>
              <w:spacing w:before="0" w:after="60" w:line="240" w:lineRule="auto"/>
              <w:ind w:left="480" w:hanging="160"/>
              <w:jc w:val="left"/>
            </w:pPr>
            <w:r>
              <w:rPr>
                <w:rFonts w:ascii="Calibri" w:hAnsi="Calibri"/>
                <w:b w:val="0"/>
                <w:sz w:val="24"/>
              </w:rPr>
              <w:t>(i) Occupational Safety and Health Act 1994 and applicable regulations including the Construction Work (Design and Management) Regulations 2024.</w:t>
            </w:r>
          </w:p>
          <w:p>
            <w:pPr>
              <w:spacing w:before="0" w:after="60" w:line="240" w:lineRule="auto"/>
              <w:ind w:left="480" w:hanging="160"/>
              <w:jc w:val="left"/>
            </w:pPr>
            <w:r>
              <w:rPr>
                <w:rFonts w:ascii="Calibri" w:hAnsi="Calibri"/>
                <w:b w:val="0"/>
                <w:sz w:val="24"/>
              </w:rPr>
              <w:t>(ii) Electricity Supply Act 1990, Electricity Regulations 1994, CIDB, fire, environmental, employment, social security and local authority requirements.</w:t>
            </w:r>
          </w:p>
          <w:p>
            <w:pPr>
              <w:spacing w:before="0" w:after="60" w:line="240" w:lineRule="auto"/>
              <w:ind w:left="480" w:hanging="160"/>
              <w:jc w:val="left"/>
            </w:pPr>
            <w:r>
              <w:rPr>
                <w:rFonts w:ascii="Calibri" w:hAnsi="Calibri"/>
                <w:b w:val="0"/>
                <w:sz w:val="24"/>
              </w:rPr>
              <w:t>(iii) Applicable host-country laws for overseas projects.</w:t>
            </w:r>
          </w:p>
          <w:p>
            <w:pPr>
              <w:spacing w:before="0" w:after="60" w:line="240" w:lineRule="auto"/>
              <w:jc w:val="left"/>
            </w:pPr>
            <w:r>
              <w:rPr>
                <w:rFonts w:ascii="Calibri" w:hAnsi="Calibri"/>
                <w:b/>
                <w:sz w:val="24"/>
              </w:rPr>
              <w:t>4.2  Technical, Client and Corporate Requirements</w:t>
            </w:r>
          </w:p>
          <w:p>
            <w:pPr>
              <w:spacing w:before="0" w:after="60" w:line="240" w:lineRule="auto"/>
              <w:ind w:left="280" w:hanging="140"/>
              <w:jc w:val="left"/>
            </w:pPr>
            <w:r>
              <w:rPr>
                <w:rFonts w:ascii="Calibri" w:hAnsi="Calibri"/>
                <w:b w:val="0"/>
                <w:sz w:val="24"/>
              </w:rPr>
              <w:t>(a) Utility rules, client specifications, contracts, facility rules, insurance conditions, standards, manufacturer instructions and corporate policies shall be incorporated into relevant controls.</w:t>
            </w:r>
          </w:p>
          <w:p>
            <w:pPr>
              <w:spacing w:before="0" w:after="60" w:line="240" w:lineRule="auto"/>
              <w:jc w:val="left"/>
            </w:pPr>
            <w:r>
              <w:rPr>
                <w:rFonts w:ascii="Calibri" w:hAnsi="Calibri"/>
                <w:b/>
                <w:sz w:val="24"/>
              </w:rPr>
              <w:t>4.3  Compliance Evaluation</w:t>
            </w:r>
          </w:p>
          <w:p>
            <w:pPr>
              <w:spacing w:before="0" w:after="60" w:line="240" w:lineRule="auto"/>
              <w:ind w:left="280" w:hanging="140"/>
              <w:jc w:val="left"/>
            </w:pPr>
            <w:r>
              <w:rPr>
                <w:rFonts w:ascii="Calibri" w:hAnsi="Calibri"/>
                <w:b w:val="0"/>
                <w:sz w:val="24"/>
              </w:rPr>
              <w:t>(a) The Legal Requirements Officer and Head of SHO shall maintain the legal register, communicate changes and evaluate compliance at planned intervals.</w:t>
            </w:r>
          </w:p>
          <w:p>
            <w:pPr>
              <w:spacing w:before="0" w:after="60" w:line="240" w:lineRule="auto"/>
              <w:ind w:left="280" w:hanging="140"/>
              <w:jc w:val="left"/>
            </w:pPr>
            <w:r>
              <w:rPr>
                <w:rFonts w:ascii="Calibri" w:hAnsi="Calibri"/>
                <w:b w:val="0"/>
                <w:sz w:val="24"/>
              </w:rPr>
              <w:t>(b) Noncompliance shall be corrected promptly and significant matters shall be reported to Top Management.</w:t>
            </w:r>
          </w:p>
        </w:tc>
        <w:tc>
          <w:tcPr>
            <w:tcW w:w="1145" w:type="dxa"/>
          </w:tcPr>
          <w:p w14:paraId="3B7F5947" w14:textId="3B7DD09F" w:rsidR="0041136E" w:rsidRPr="00B60475" w:rsidRDefault="0041136E" w:rsidP="0041136E">
            <w:pPr>
              <w:spacing w:before="840"/>
              <w:jc w:val="left"/>
              <w:rPr>
                <w:rFonts w:asciiTheme="minorHAnsi" w:hAnsiTheme="minorHAnsi" w:cstheme="minorHAnsi"/>
                <w:sz w:val="24"/>
                <w:szCs w:val="24"/>
              </w:rPr>
            </w:pPr>
            <w:r w:rsidRPr="00B60475">
              <w:rPr>
                <w:rFonts w:asciiTheme="minorHAnsi" w:hAnsiTheme="minorHAnsi" w:cstheme="minorHAnsi" w:ascii="Calibri" w:hAnsi="Calibri"/>
                <w:sz w:val="24"/>
                <w:szCs w:val="24"/>
              </w:rPr>
              <w:t xml:space="preserve">LRO / </w:t>
            </w:r>
            <w:r w:rsidR="007E7DD1">
              <w:rPr>
                <w:rFonts w:asciiTheme="minorHAnsi" w:hAnsiTheme="minorHAnsi" w:cstheme="minorHAnsi" w:ascii="Calibri" w:hAnsi="Calibri"/>
                <w:sz w:val="24"/>
                <w:szCs w:val="24"/>
              </w:rPr>
              <w:t>SHO</w:t>
            </w:r>
            <w:r w:rsidRPr="00B60475">
              <w:rPr>
                <w:rFonts w:asciiTheme="minorHAnsi" w:hAnsiTheme="minorHAnsi" w:cstheme="minorHAnsi" w:ascii="Calibri" w:hAnsi="Calibri"/>
                <w:sz w:val="24"/>
                <w:szCs w:val="24"/>
              </w:rPr>
              <w:t xml:space="preserve"> / IM / PM</w:t>
            </w:r>
          </w:p>
        </w:tc>
        <w:tc>
          <w:tcPr>
            <w:tcW w:w="1782" w:type="dxa"/>
          </w:tcPr>
          <w:p w14:paraId="1F90C11A" w14:textId="77777777" w:rsidR="0041136E" w:rsidRPr="00B60475" w:rsidRDefault="0041136E" w:rsidP="0041136E">
            <w:pPr>
              <w:spacing w:before="840"/>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OHSMS-06K; OCS-S-PRO-03; OCS-S-REC-LR; OCS-S-REC-CER</w:t>
            </w:r>
          </w:p>
        </w:tc>
      </w:tr>
      <w:tr w:rsidR="0041136E" w:rsidRPr="00B60475" w14:paraId="2CC6EDA1" w14:textId="77777777">
        <w:trPr>
          <w:cantSplit/>
          <w:cantSplit w:val="true"/>
        </w:trPr>
        <w:tc>
          <w:tcPr>
            <w:tcW w:w="689" w:type="dxa"/>
          </w:tcPr>
          <w:p w14:paraId="0E8CBDA8" w14:textId="77777777"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b/>
                <w:sz w:val="24"/>
                <w:szCs w:val="24"/>
              </w:rPr>
              <w:t>5</w:t>
            </w:r>
          </w:p>
        </w:tc>
        <w:tc>
          <w:tcPr>
            <w:tcW w:w="6110" w:type="dxa"/>
            <w:vAlign w:val="top"/>
          </w:tcPr>
          <w:p>
            <w:pPr>
              <w:spacing w:before="0" w:after="60" w:line="240" w:lineRule="auto"/>
              <w:jc w:val="left"/>
            </w:pPr>
            <w:r>
              <w:rPr>
                <w:rFonts w:ascii="Calibri" w:hAnsi="Calibri"/>
                <w:sz w:val="24"/>
              </w:rPr>
            </w:r>
            <w:r>
              <w:rPr>
                <w:rFonts w:ascii="Calibri" w:hAnsi="Calibri"/>
                <w:b/>
                <w:sz w:val="24"/>
              </w:rPr>
              <w:t>5  OHSMS Certification Scope</w:t>
            </w:r>
          </w:p>
          <w:p>
            <w:pPr>
              <w:spacing w:before="0" w:after="60" w:line="240" w:lineRule="auto"/>
              <w:jc w:val="left"/>
            </w:pPr>
            <w:r>
              <w:rPr>
                <w:rFonts w:ascii="Calibri" w:hAnsi="Calibri"/>
                <w:b/>
                <w:sz w:val="24"/>
              </w:rPr>
              <w:t>5.1  Scope Determination</w:t>
            </w:r>
          </w:p>
          <w:p>
            <w:pPr>
              <w:spacing w:before="0" w:after="60" w:line="240" w:lineRule="auto"/>
              <w:ind w:left="280" w:hanging="140"/>
              <w:jc w:val="left"/>
            </w:pPr>
            <w:r>
              <w:rPr>
                <w:rFonts w:ascii="Calibri" w:hAnsi="Calibri"/>
                <w:b w:val="0"/>
                <w:sz w:val="24"/>
              </w:rPr>
              <w:t>(a) The scope shall consider relevant issues, interested-party requirements, work activities and the Company’s authority to control or influence OHS performance.</w:t>
            </w:r>
          </w:p>
          <w:p>
            <w:pPr>
              <w:spacing w:before="0" w:after="60" w:line="240" w:lineRule="auto"/>
              <w:jc w:val="left"/>
            </w:pPr>
            <w:r>
              <w:rPr>
                <w:rFonts w:ascii="Calibri" w:hAnsi="Calibri"/>
                <w:b/>
                <w:sz w:val="24"/>
              </w:rPr>
              <w:t>5.2  Certification Scope Statement</w:t>
            </w:r>
          </w:p>
          <w:p>
            <w:pPr>
              <w:spacing w:before="0" w:after="60" w:line="240" w:lineRule="auto"/>
              <w:ind w:left="280" w:hanging="140"/>
              <w:jc w:val="left"/>
            </w:pPr>
            <w:r>
              <w:rPr>
                <w:rFonts w:ascii="Calibri" w:hAnsi="Calibri"/>
                <w:b w:val="0"/>
                <w:sz w:val="24"/>
              </w:rPr>
              <w:t>(a) PROVISION OF SUPPLY, INSTALLATION, MAINTENANCE AND SERVICING OF MECHANICAL AND ELECTRICAL (M&amp;E) SYSTEMS.</w:t>
            </w:r>
          </w:p>
          <w:p>
            <w:pPr>
              <w:spacing w:before="0" w:after="60" w:line="240" w:lineRule="auto"/>
              <w:jc w:val="left"/>
            </w:pPr>
            <w:r>
              <w:rPr>
                <w:rFonts w:ascii="Calibri" w:hAnsi="Calibri"/>
                <w:b/>
                <w:sz w:val="24"/>
              </w:rPr>
              <w:t>5.3  Organisational and Operational Boundaries</w:t>
            </w:r>
          </w:p>
          <w:p>
            <w:pPr>
              <w:spacing w:before="0" w:after="60" w:line="240" w:lineRule="auto"/>
              <w:ind w:left="280" w:hanging="140"/>
              <w:jc w:val="left"/>
            </w:pPr>
            <w:r>
              <w:rPr>
                <w:rFonts w:ascii="Calibri" w:hAnsi="Calibri"/>
                <w:b w:val="0"/>
                <w:sz w:val="24"/>
              </w:rPr>
              <w:t>(a) The OHSMS applies to included offices, projects, workshops, stores, temporary facilities and overseas operations and covers workers and outsourced activities under the Company’s control or influence.</w:t>
            </w:r>
          </w:p>
          <w:p>
            <w:pPr>
              <w:spacing w:before="0" w:after="60" w:line="240" w:lineRule="auto"/>
              <w:jc w:val="left"/>
            </w:pPr>
            <w:r>
              <w:rPr>
                <w:rFonts w:ascii="Calibri" w:hAnsi="Calibri"/>
                <w:b/>
                <w:sz w:val="24"/>
              </w:rPr>
              <w:t>5.4  Availability and Review</w:t>
            </w:r>
          </w:p>
          <w:p>
            <w:pPr>
              <w:spacing w:before="0" w:after="60" w:line="240" w:lineRule="auto"/>
              <w:ind w:left="280" w:hanging="140"/>
              <w:jc w:val="left"/>
            </w:pPr>
            <w:r>
              <w:rPr>
                <w:rFonts w:ascii="Calibri" w:hAnsi="Calibri"/>
                <w:b w:val="0"/>
                <w:sz w:val="24"/>
              </w:rPr>
              <w:t>(a) The scope shall be maintained as documented information, made available as appropriate and reviewed following material organisational or operational changes.</w:t>
            </w:r>
          </w:p>
        </w:tc>
        <w:tc>
          <w:tcPr>
            <w:tcW w:w="1145" w:type="dxa"/>
          </w:tcPr>
          <w:p w14:paraId="0D3FDFC5" w14:textId="77777777"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MD / ED / IM</w:t>
            </w:r>
          </w:p>
        </w:tc>
        <w:tc>
          <w:tcPr>
            <w:tcW w:w="1782" w:type="dxa"/>
          </w:tcPr>
          <w:p w14:paraId="66783645" w14:textId="77777777"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OHSMS-01; OHSMS-04D</w:t>
            </w:r>
          </w:p>
        </w:tc>
      </w:tr>
      <w:tr w:rsidR="002A4C23" w:rsidRPr="00B60475" w14:paraId="0D93FDFB" w14:textId="77777777">
        <w:trPr>
          <w:cantSplit/>
          <w:cantSplit w:val="true"/>
        </w:trPr>
        <w:tc>
          <w:tcPr>
            <w:tcW w:w="689" w:type="dxa"/>
          </w:tcPr>
          <w:p w14:paraId="29613EB7" w14:textId="7BC9DBEA" w:rsidR="002A4C23" w:rsidRPr="002A4C23" w:rsidRDefault="002A4C23" w:rsidP="002A4C23">
            <w:pPr>
              <w:jc w:val="left"/>
              <w:rPr>
                <w:rFonts w:asciiTheme="minorHAnsi" w:hAnsiTheme="minorHAnsi" w:cstheme="minorHAnsi"/>
                <w:bCs/>
                <w:sz w:val="24"/>
                <w:szCs w:val="24"/>
              </w:rPr>
            </w:pPr>
            <w:r w:rsidRPr="002A4C23">
              <w:rPr>
                <w:rFonts w:asciiTheme="minorHAnsi" w:hAnsiTheme="minorHAnsi" w:cstheme="minorHAnsi" w:ascii="Calibri" w:hAnsi="Calibri"/>
                <w:bCs/>
                <w:sz w:val="24"/>
                <w:szCs w:val="24"/>
              </w:rPr>
              <w:t>6</w:t>
            </w:r>
          </w:p>
        </w:tc>
        <w:tc>
          <w:tcPr>
            <w:tcW w:w="6110" w:type="dxa"/>
            <w:vAlign w:val="top"/>
          </w:tcPr>
          <w:p>
            <w:pPr>
              <w:spacing w:before="0" w:after="60" w:line="240" w:lineRule="auto"/>
              <w:jc w:val="left"/>
            </w:pPr>
            <w:r>
              <w:rPr>
                <w:rFonts w:ascii="Calibri" w:hAnsi="Calibri"/>
                <w:sz w:val="24"/>
              </w:rPr>
            </w:r>
            <w:r>
              <w:rPr>
                <w:rFonts w:ascii="Calibri" w:hAnsi="Calibri"/>
                <w:b/>
                <w:sz w:val="24"/>
              </w:rPr>
              <w:t>6  Applicability of ISO 45001 Requirements</w:t>
            </w:r>
          </w:p>
          <w:p>
            <w:pPr>
              <w:spacing w:before="0" w:after="60" w:line="240" w:lineRule="auto"/>
              <w:jc w:val="left"/>
            </w:pPr>
            <w:r>
              <w:rPr>
                <w:rFonts w:ascii="Calibri" w:hAnsi="Calibri"/>
                <w:b/>
                <w:sz w:val="24"/>
              </w:rPr>
              <w:t>6.1  Applicability</w:t>
            </w:r>
          </w:p>
          <w:p>
            <w:pPr>
              <w:spacing w:before="0" w:after="60" w:line="240" w:lineRule="auto"/>
              <w:ind w:left="280" w:hanging="140"/>
              <w:jc w:val="left"/>
            </w:pPr>
            <w:r>
              <w:rPr>
                <w:rFonts w:ascii="Calibri" w:hAnsi="Calibri"/>
                <w:b w:val="0"/>
                <w:sz w:val="24"/>
              </w:rPr>
              <w:t>(a) No applicable MS ISO 45001:2018 requirement is excluded from the defined OHSMS scope.</w:t>
            </w:r>
          </w:p>
          <w:p>
            <w:pPr>
              <w:spacing w:before="0" w:after="60" w:line="240" w:lineRule="auto"/>
              <w:ind w:left="280" w:hanging="140"/>
              <w:jc w:val="left"/>
            </w:pPr>
            <w:r>
              <w:rPr>
                <w:rFonts w:ascii="Calibri" w:hAnsi="Calibri"/>
                <w:b w:val="0"/>
                <w:sz w:val="24"/>
              </w:rPr>
              <w:t>(b) The scope shall not omit activities that can affect OHS performance or avoid legal and other requirements.</w:t>
            </w:r>
          </w:p>
        </w:tc>
        <w:tc>
          <w:tcPr>
            <w:tcW w:w="1145" w:type="dxa"/>
          </w:tcPr>
          <w:p w14:paraId="7BBA28EB" w14:textId="5A781DAB" w:rsidR="002A4C23" w:rsidRPr="00B60475" w:rsidRDefault="002A4C23"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 xml:space="preserve">MD / ED / IM / </w:t>
            </w:r>
            <w:r>
              <w:rPr>
                <w:rFonts w:asciiTheme="minorHAnsi" w:hAnsiTheme="minorHAnsi" w:cstheme="minorHAnsi" w:ascii="Calibri" w:hAnsi="Calibri"/>
                <w:sz w:val="24"/>
                <w:szCs w:val="24"/>
              </w:rPr>
              <w:t>SHO</w:t>
            </w:r>
          </w:p>
        </w:tc>
        <w:tc>
          <w:tcPr>
            <w:tcW w:w="1782" w:type="dxa"/>
          </w:tcPr>
          <w:p w14:paraId="2FC0AC05" w14:textId="341A4E4B" w:rsidR="002A4C23" w:rsidRPr="00B60475" w:rsidRDefault="002A4C23"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OHSMS-04D; PD-S-PRO-07</w:t>
            </w:r>
          </w:p>
        </w:tc>
      </w:tr>
      <w:tr w:rsidR="0041136E" w:rsidRPr="00B60475" w14:paraId="6116AD70" w14:textId="77777777">
        <w:trPr>
          <w:cantSplit/>
          <w:cantSplit w:val="true"/>
        </w:trPr>
        <w:tc>
          <w:tcPr>
            <w:tcW w:w="689" w:type="dxa"/>
          </w:tcPr>
          <w:p w14:paraId="6696F6ED" w14:textId="0A06A097" w:rsidR="0041136E" w:rsidRPr="00B60475" w:rsidRDefault="0041136E" w:rsidP="0041136E">
            <w:pPr>
              <w:jc w:val="left"/>
              <w:rPr>
                <w:rFonts w:asciiTheme="minorHAnsi" w:hAnsiTheme="minorHAnsi" w:cstheme="minorHAnsi"/>
                <w:sz w:val="24"/>
                <w:szCs w:val="24"/>
              </w:rPr>
            </w:pPr>
          </w:p>
        </w:tc>
        <w:tc>
          <w:tcPr>
            <w:tcW w:w="6110" w:type="dxa"/>
            <w:vAlign w:val="top"/>
          </w:tcPr>
          <w:p>
            <w:pPr>
              <w:spacing w:before="0" w:after="60" w:line="240" w:lineRule="auto"/>
              <w:jc w:val="left"/>
            </w:pPr>
            <w:r>
              <w:rPr>
                <w:rFonts w:ascii="Calibri" w:hAnsi="Calibri"/>
                <w:sz w:val="24"/>
              </w:rPr>
            </w:r>
            <w:r>
              <w:rPr>
                <w:rFonts w:ascii="Calibri" w:hAnsi="Calibri"/>
                <w:b/>
                <w:sz w:val="24"/>
              </w:rPr>
              <w:t>6.2  Outsourced Activities</w:t>
            </w:r>
          </w:p>
          <w:p>
            <w:pPr>
              <w:spacing w:before="0" w:after="60" w:line="240" w:lineRule="auto"/>
              <w:ind w:left="280" w:hanging="140"/>
              <w:jc w:val="left"/>
            </w:pPr>
            <w:r>
              <w:rPr>
                <w:rFonts w:ascii="Calibri" w:hAnsi="Calibri"/>
                <w:b w:val="0"/>
                <w:sz w:val="24"/>
              </w:rPr>
              <w:t>(a) Outsourced design, testing, lifting, scaffolding, civil work, commissioning, maintenance and specialist services shall remain under appropriate control or influence.</w:t>
            </w:r>
          </w:p>
          <w:p>
            <w:pPr>
              <w:spacing w:before="0" w:after="60" w:line="240" w:lineRule="auto"/>
              <w:ind w:left="280" w:hanging="140"/>
              <w:jc w:val="left"/>
            </w:pPr>
            <w:r>
              <w:rPr>
                <w:rFonts w:ascii="Calibri" w:hAnsi="Calibri"/>
                <w:b w:val="0"/>
                <w:sz w:val="24"/>
              </w:rPr>
              <w:t>(b) Controls shall reflect risk, legal responsibility, technical complexity and contractor capability.</w:t>
            </w:r>
          </w:p>
          <w:p>
            <w:pPr>
              <w:spacing w:before="0" w:after="60" w:line="240" w:lineRule="auto"/>
              <w:jc w:val="left"/>
            </w:pPr>
            <w:r>
              <w:rPr>
                <w:rFonts w:ascii="Calibri" w:hAnsi="Calibri"/>
                <w:b/>
                <w:sz w:val="24"/>
              </w:rPr>
              <w:t>6.3  Overseas Operations</w:t>
            </w:r>
          </w:p>
          <w:p>
            <w:pPr>
              <w:spacing w:before="0" w:after="60" w:line="240" w:lineRule="auto"/>
              <w:ind w:left="280" w:hanging="140"/>
              <w:jc w:val="left"/>
            </w:pPr>
            <w:r>
              <w:rPr>
                <w:rFonts w:ascii="Calibri" w:hAnsi="Calibri"/>
                <w:b w:val="0"/>
                <w:sz w:val="24"/>
              </w:rPr>
              <w:t>(a) Overseas projects shall comply with host-country laws, client rules and the Company’s minimum OHSMS requirements.</w:t>
            </w:r>
          </w:p>
          <w:p>
            <w:pPr>
              <w:spacing w:before="0" w:after="60" w:line="240" w:lineRule="auto"/>
              <w:ind w:left="280" w:hanging="140"/>
              <w:jc w:val="left"/>
            </w:pPr>
            <w:r>
              <w:rPr>
                <w:rFonts w:ascii="Calibri" w:hAnsi="Calibri"/>
                <w:b w:val="0"/>
                <w:sz w:val="24"/>
              </w:rPr>
              <w:t>(b) Where requirements differ management shall document the lawful standard that provides effective protection.</w:t>
            </w:r>
          </w:p>
        </w:tc>
        <w:tc>
          <w:tcPr>
            <w:tcW w:w="1145" w:type="dxa"/>
          </w:tcPr>
          <w:p w14:paraId="111D7C3B" w14:textId="2E4133DD"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 xml:space="preserve">MD / ED / IM / </w:t>
            </w:r>
            <w:r w:rsidR="007E7DD1">
              <w:rPr>
                <w:rFonts w:asciiTheme="minorHAnsi" w:hAnsiTheme="minorHAnsi" w:cstheme="minorHAnsi" w:ascii="Calibri" w:hAnsi="Calibri"/>
                <w:sz w:val="24"/>
                <w:szCs w:val="24"/>
              </w:rPr>
              <w:t>SHO</w:t>
            </w:r>
          </w:p>
        </w:tc>
        <w:tc>
          <w:tcPr>
            <w:tcW w:w="1782" w:type="dxa"/>
          </w:tcPr>
          <w:p w14:paraId="3333B0E9" w14:textId="77777777"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OHSMS-04D; PD-S-PRO-07</w:t>
            </w:r>
          </w:p>
        </w:tc>
      </w:tr>
      <w:tr w:rsidR="002A4C23" w:rsidRPr="00B60475" w14:paraId="44EAA824" w14:textId="77777777">
        <w:trPr>
          <w:cantSplit/>
          <w:cantSplit w:val="true"/>
        </w:trPr>
        <w:tc>
          <w:tcPr>
            <w:tcW w:w="689" w:type="dxa"/>
          </w:tcPr>
          <w:p w14:paraId="403073BE" w14:textId="4FE3490A" w:rsidR="002A4C23" w:rsidRPr="00B60475" w:rsidRDefault="002A4C23" w:rsidP="002A4C23">
            <w:pPr>
              <w:spacing w:before="840"/>
              <w:jc w:val="left"/>
              <w:rPr>
                <w:rFonts w:asciiTheme="minorHAnsi" w:hAnsiTheme="minorHAnsi" w:cstheme="minorHAnsi"/>
                <w:sz w:val="24"/>
                <w:szCs w:val="24"/>
              </w:rPr>
            </w:pPr>
            <w:r>
              <w:rPr>
                <w:rFonts w:asciiTheme="minorHAnsi" w:hAnsiTheme="minorHAnsi" w:cstheme="minorHAnsi" w:ascii="Calibri" w:hAnsi="Calibri"/>
                <w:sz w:val="24"/>
                <w:szCs w:val="24"/>
              </w:rPr>
              <w:t>7</w:t>
            </w:r>
          </w:p>
        </w:tc>
        <w:tc>
          <w:tcPr>
            <w:tcW w:w="6110" w:type="dxa"/>
            <w:vAlign w:val="top"/>
          </w:tcPr>
          <w:p>
            <w:pPr>
              <w:spacing w:before="840" w:after="60" w:line="240" w:lineRule="auto"/>
              <w:jc w:val="left"/>
            </w:pPr>
            <w:r>
              <w:rPr>
                <w:rFonts w:ascii="Calibri" w:hAnsi="Calibri"/>
                <w:sz w:val="24"/>
              </w:rPr>
            </w:r>
            <w:r>
              <w:rPr>
                <w:rFonts w:ascii="Calibri" w:hAnsi="Calibri"/>
                <w:b/>
                <w:sz w:val="24"/>
              </w:rPr>
              <w:t>7  Occupational Health and Safety Management System and Its Processes</w:t>
            </w:r>
          </w:p>
          <w:p>
            <w:pPr>
              <w:spacing w:before="0" w:after="60" w:line="240" w:lineRule="auto"/>
              <w:jc w:val="left"/>
            </w:pPr>
            <w:r>
              <w:rPr>
                <w:rFonts w:ascii="Calibri" w:hAnsi="Calibri"/>
                <w:b/>
                <w:sz w:val="24"/>
              </w:rPr>
              <w:t>7.1  Establishment of the OHSMS</w:t>
            </w:r>
          </w:p>
          <w:p>
            <w:pPr>
              <w:spacing w:before="0" w:after="60" w:line="240" w:lineRule="auto"/>
              <w:ind w:left="280" w:hanging="140"/>
              <w:jc w:val="left"/>
            </w:pPr>
            <w:r>
              <w:rPr>
                <w:rFonts w:ascii="Calibri" w:hAnsi="Calibri"/>
                <w:b w:val="0"/>
                <w:sz w:val="24"/>
              </w:rPr>
              <w:t>(a) The Company shall establish, implement, maintain and continually improve the OHSMS and integrate it into business and project processes.</w:t>
            </w:r>
          </w:p>
          <w:p>
            <w:pPr>
              <w:spacing w:before="0" w:after="60" w:line="240" w:lineRule="auto"/>
              <w:jc w:val="left"/>
            </w:pPr>
            <w:r>
              <w:rPr>
                <w:rFonts w:ascii="Calibri" w:hAnsi="Calibri"/>
                <w:b/>
                <w:sz w:val="24"/>
              </w:rPr>
              <w:t>7.2  Process Inputs and Outputs</w:t>
            </w:r>
          </w:p>
          <w:p>
            <w:pPr>
              <w:spacing w:before="0" w:after="60" w:line="240" w:lineRule="auto"/>
              <w:ind w:left="280" w:hanging="140"/>
              <w:jc w:val="left"/>
            </w:pPr>
            <w:r>
              <w:rPr>
                <w:rFonts w:ascii="Calibri" w:hAnsi="Calibri"/>
                <w:b w:val="0"/>
                <w:sz w:val="24"/>
              </w:rPr>
              <w:t>(a) Inputs include context, requirements, contracts, designs, competence, hazards and previous performance.</w:t>
            </w:r>
          </w:p>
          <w:p>
            <w:pPr>
              <w:spacing w:before="0" w:after="60" w:line="240" w:lineRule="auto"/>
              <w:ind w:left="280" w:hanging="140"/>
              <w:jc w:val="left"/>
            </w:pPr>
            <w:r>
              <w:rPr>
                <w:rFonts w:ascii="Calibri" w:hAnsi="Calibri"/>
                <w:b w:val="0"/>
                <w:sz w:val="24"/>
              </w:rPr>
              <w:t>(b) Outputs include policy, objectives, HIRARC, project controls, permits, records, emergency arrangements, audits and corrective actions.</w:t>
            </w:r>
          </w:p>
          <w:p>
            <w:pPr>
              <w:spacing w:before="0" w:after="60" w:line="240" w:lineRule="auto"/>
              <w:jc w:val="left"/>
            </w:pPr>
            <w:r>
              <w:rPr>
                <w:rFonts w:ascii="Calibri" w:hAnsi="Calibri"/>
                <w:b/>
                <w:sz w:val="24"/>
              </w:rPr>
              <w:t>7.3  Sequence and Interaction</w:t>
            </w:r>
          </w:p>
          <w:p>
            <w:pPr>
              <w:spacing w:before="0" w:after="60" w:line="240" w:lineRule="auto"/>
              <w:ind w:left="280" w:hanging="140"/>
              <w:jc w:val="left"/>
            </w:pPr>
            <w:r>
              <w:rPr>
                <w:rFonts w:ascii="Calibri" w:hAnsi="Calibri"/>
                <w:b w:val="0"/>
                <w:sz w:val="24"/>
              </w:rPr>
              <w:t>(a) OHSMS processes extend from tender and design through procurement, mobilisation, installation, testing, energisation, commissioning, handover, maintenance and close-out.</w:t>
            </w:r>
          </w:p>
          <w:p>
            <w:pPr>
              <w:spacing w:before="0" w:after="60" w:line="240" w:lineRule="auto"/>
              <w:ind w:left="280" w:hanging="140"/>
              <w:jc w:val="left"/>
            </w:pPr>
            <w:r>
              <w:rPr>
                <w:rFonts w:ascii="Calibri" w:hAnsi="Calibri"/>
                <w:b w:val="0"/>
                <w:sz w:val="24"/>
              </w:rPr>
              <w:t>(b) Supporting processes include Human Resources, training, finance, IT, document control, purchasing, legal compliance and governance.</w:t>
            </w:r>
          </w:p>
        </w:tc>
        <w:tc>
          <w:tcPr>
            <w:tcW w:w="1145" w:type="dxa"/>
          </w:tcPr>
          <w:p w14:paraId="1298ED1C" w14:textId="6727ED08" w:rsidR="002A4C23" w:rsidRPr="00B60475" w:rsidRDefault="002A4C23" w:rsidP="0041136E">
            <w:pPr>
              <w:spacing w:before="840"/>
              <w:jc w:val="left"/>
              <w:rPr>
                <w:rFonts w:asciiTheme="minorHAnsi" w:hAnsiTheme="minorHAnsi" w:cstheme="minorHAnsi"/>
                <w:sz w:val="24"/>
                <w:szCs w:val="24"/>
              </w:rPr>
            </w:pPr>
            <w:r w:rsidRPr="00B60475">
              <w:rPr>
                <w:rFonts w:asciiTheme="minorHAnsi" w:hAnsiTheme="minorHAnsi" w:cstheme="minorHAnsi" w:ascii="Calibri" w:hAnsi="Calibri"/>
                <w:sz w:val="24"/>
                <w:szCs w:val="24"/>
              </w:rPr>
              <w:t xml:space="preserve">MD / ED / IM / </w:t>
            </w:r>
            <w:r>
              <w:rPr>
                <w:rFonts w:asciiTheme="minorHAnsi" w:hAnsiTheme="minorHAnsi" w:cstheme="minorHAnsi" w:ascii="Calibri" w:hAnsi="Calibri"/>
                <w:sz w:val="24"/>
                <w:szCs w:val="24"/>
              </w:rPr>
              <w:t>SHO</w:t>
            </w:r>
            <w:r w:rsidRPr="00B60475">
              <w:rPr>
                <w:rFonts w:asciiTheme="minorHAnsi" w:hAnsiTheme="minorHAnsi" w:cstheme="minorHAnsi" w:ascii="Calibri" w:hAnsi="Calibri"/>
                <w:sz w:val="24"/>
                <w:szCs w:val="24"/>
              </w:rPr>
              <w:t xml:space="preserve"> / Process Owners</w:t>
            </w:r>
          </w:p>
        </w:tc>
        <w:tc>
          <w:tcPr>
            <w:tcW w:w="1782" w:type="dxa"/>
          </w:tcPr>
          <w:p w14:paraId="0FCCF549" w14:textId="6B92B771" w:rsidR="002A4C23" w:rsidRPr="00B60475" w:rsidRDefault="002A4C23" w:rsidP="0041136E">
            <w:pPr>
              <w:spacing w:before="840"/>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OHSMS-04E; OHSMS-07N; QSA-S-PRO-01</w:t>
            </w:r>
          </w:p>
        </w:tc>
      </w:tr>
      <w:tr w:rsidR="0041136E" w:rsidRPr="00B60475" w14:paraId="22AFE8C4" w14:textId="77777777">
        <w:trPr>
          <w:cantSplit/>
          <w:cantSplit w:val="true"/>
        </w:trPr>
        <w:tc>
          <w:tcPr>
            <w:tcW w:w="689" w:type="dxa"/>
          </w:tcPr>
          <w:p w14:paraId="3E0896E0" w14:textId="5D75F09A" w:rsidR="0041136E" w:rsidRPr="00B60475" w:rsidRDefault="0041136E" w:rsidP="0041136E">
            <w:pPr>
              <w:jc w:val="left"/>
              <w:rPr>
                <w:rFonts w:asciiTheme="minorHAnsi" w:hAnsiTheme="minorHAnsi" w:cstheme="minorHAnsi"/>
                <w:sz w:val="24"/>
                <w:szCs w:val="24"/>
              </w:rPr>
            </w:pPr>
          </w:p>
        </w:tc>
        <w:tc>
          <w:tcPr>
            <w:tcW w:w="6110" w:type="dxa"/>
            <w:vAlign w:val="top"/>
          </w:tcPr>
          <w:p>
            <w:pPr>
              <w:pageBreakBefore/>
              <w:spacing w:before="0" w:after="60" w:line="240" w:lineRule="auto"/>
              <w:jc w:val="left"/>
            </w:pPr>
            <w:r>
              <w:rPr>
                <w:rFonts w:ascii="Calibri" w:hAnsi="Calibri"/>
                <w:sz w:val="24"/>
              </w:rPr>
            </w:r>
            <w:r>
              <w:rPr>
                <w:rFonts w:ascii="Calibri" w:hAnsi="Calibri"/>
                <w:b/>
                <w:sz w:val="24"/>
              </w:rPr>
              <w:t>7.4  Criteria and Control</w:t>
            </w:r>
          </w:p>
          <w:p>
            <w:pPr>
              <w:spacing w:before="0" w:after="60" w:line="240" w:lineRule="auto"/>
              <w:ind w:left="280" w:hanging="140"/>
              <w:jc w:val="left"/>
            </w:pPr>
            <w:r>
              <w:rPr>
                <w:rFonts w:ascii="Calibri" w:hAnsi="Calibri"/>
                <w:b w:val="0"/>
                <w:sz w:val="24"/>
              </w:rPr>
              <w:t>(a) Process owners shall define responsibilities, resources, methods, criteria and documented information required for effective control.</w:t>
            </w:r>
          </w:p>
          <w:p>
            <w:pPr>
              <w:spacing w:before="0" w:after="60" w:line="240" w:lineRule="auto"/>
              <w:ind w:left="280" w:hanging="140"/>
              <w:jc w:val="left"/>
            </w:pPr>
            <w:r>
              <w:rPr>
                <w:rFonts w:ascii="Calibri" w:hAnsi="Calibri"/>
                <w:b w:val="0"/>
                <w:sz w:val="24"/>
              </w:rPr>
              <w:t>(b) Controls may include competent supervision, HIRARC, work instructions, permit-to-work, LOTO, inspections, monitoring, emergency preparedness and management of change.</w:t>
            </w:r>
          </w:p>
          <w:p>
            <w:pPr>
              <w:spacing w:before="0" w:after="60" w:line="240" w:lineRule="auto"/>
              <w:jc w:val="left"/>
            </w:pPr>
            <w:r>
              <w:rPr>
                <w:rFonts w:ascii="Calibri" w:hAnsi="Calibri"/>
                <w:b/>
                <w:sz w:val="24"/>
              </w:rPr>
              <w:t>7.5  Monitoring and Improvement</w:t>
            </w:r>
          </w:p>
          <w:p>
            <w:pPr>
              <w:spacing w:before="0" w:after="60" w:line="240" w:lineRule="auto"/>
              <w:ind w:left="280" w:hanging="140"/>
              <w:jc w:val="left"/>
            </w:pPr>
            <w:r>
              <w:rPr>
                <w:rFonts w:ascii="Calibri" w:hAnsi="Calibri"/>
                <w:b w:val="0"/>
                <w:sz w:val="24"/>
              </w:rPr>
              <w:t>(a) The Company shall monitor OHS indicators, compliance, critical controls, worker feedback, incidents, audits and corrective actions.</w:t>
            </w:r>
          </w:p>
          <w:p>
            <w:pPr>
              <w:spacing w:before="0" w:after="60" w:line="240" w:lineRule="auto"/>
              <w:ind w:left="280" w:hanging="140"/>
              <w:jc w:val="left"/>
            </w:pPr>
            <w:r>
              <w:rPr>
                <w:rFonts w:ascii="Calibri" w:hAnsi="Calibri"/>
                <w:b w:val="0"/>
                <w:sz w:val="24"/>
              </w:rPr>
              <w:t>(b) Process owners shall correct deviations, determine causes, verify corrective-action effectiveness and pursue continual improvement.</w:t>
            </w:r>
          </w:p>
          <w:p>
            <w:pPr>
              <w:spacing w:before="0" w:after="60" w:line="240" w:lineRule="auto"/>
              <w:jc w:val="left"/>
            </w:pPr>
            <w:r>
              <w:rPr>
                <w:rFonts w:ascii="Calibri" w:hAnsi="Calibri"/>
                <w:b/>
                <w:sz w:val="24"/>
              </w:rPr>
              <w:t>7.6  Documented Information</w:t>
            </w:r>
          </w:p>
          <w:p>
            <w:pPr>
              <w:spacing w:before="0" w:after="60" w:line="240" w:lineRule="auto"/>
              <w:ind w:left="280" w:hanging="140"/>
              <w:jc w:val="left"/>
            </w:pPr>
            <w:r>
              <w:rPr>
                <w:rFonts w:ascii="Calibri" w:hAnsi="Calibri"/>
                <w:b w:val="0"/>
                <w:sz w:val="24"/>
              </w:rPr>
              <w:t>(a) OHSMS documents and records shall be approved, revision controlled, protected, accessible, retained and disposed of securely.</w:t>
            </w:r>
          </w:p>
          <w:p>
            <w:pPr>
              <w:spacing w:before="0" w:after="60" w:line="240" w:lineRule="auto"/>
              <w:ind w:left="280" w:hanging="140"/>
              <w:jc w:val="left"/>
            </w:pPr>
            <w:r>
              <w:rPr>
                <w:rFonts w:ascii="Calibri" w:hAnsi="Calibri"/>
                <w:b w:val="0"/>
                <w:sz w:val="24"/>
              </w:rPr>
              <w:t>(b) Safety-critical drawings, switching programmes, settings, permits and isolation records shall receive enhanced verification and control.</w:t>
            </w:r>
          </w:p>
        </w:tc>
        <w:tc>
          <w:tcPr>
            <w:tcW w:w="1145" w:type="dxa"/>
          </w:tcPr>
          <w:p w14:paraId="0F464A4C" w14:textId="4DFF8536"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 xml:space="preserve">MD / ED / IM / </w:t>
            </w:r>
            <w:r w:rsidR="007E7DD1">
              <w:rPr>
                <w:rFonts w:asciiTheme="minorHAnsi" w:hAnsiTheme="minorHAnsi" w:cstheme="minorHAnsi" w:ascii="Calibri" w:hAnsi="Calibri"/>
                <w:sz w:val="24"/>
                <w:szCs w:val="24"/>
              </w:rPr>
              <w:t>SHO</w:t>
            </w:r>
            <w:r w:rsidRPr="00B60475">
              <w:rPr>
                <w:rFonts w:asciiTheme="minorHAnsi" w:hAnsiTheme="minorHAnsi" w:cstheme="minorHAnsi" w:ascii="Calibri" w:hAnsi="Calibri"/>
                <w:sz w:val="24"/>
                <w:szCs w:val="24"/>
              </w:rPr>
              <w:t xml:space="preserve"> / Process Owners</w:t>
            </w:r>
          </w:p>
        </w:tc>
        <w:tc>
          <w:tcPr>
            <w:tcW w:w="1782" w:type="dxa"/>
          </w:tcPr>
          <w:p w14:paraId="169D115D" w14:textId="77777777" w:rsidR="0041136E" w:rsidRPr="00B60475" w:rsidRDefault="0041136E" w:rsidP="0041136E">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OHSMS-04E; OHSMS-07N; QSA-S-PRO-01</w:t>
            </w:r>
          </w:p>
        </w:tc>
      </w:tr>
    </w:tbl>
    <w:p w14:paraId="518161B9" w14:textId="77777777" w:rsidR="00A27FF7" w:rsidRPr="00B60475" w:rsidRDefault="00A27FF7" w:rsidP="00BB3C23">
      <w:pPr>
        <w:ind w:left="284"/>
        <w:rPr>
          <w:rFonts w:asciiTheme="minorHAnsi" w:hAnsiTheme="minorHAnsi" w:cstheme="minorHAnsi"/>
          <w:sz w:val="24"/>
          <w:szCs w:val="24"/>
        </w:rPr>
      </w:pPr>
    </w:p>
    <w:tbl>
      <w:tblPr>
        <w:tblStyle w:val="TableGrid"/>
        <w:tblW w:w="0" w:type="auto"/>
        <w:tblInd w:w="284" w:type="dxa"/>
        <w:tblLook w:val="04A0" w:firstRow="1" w:lastRow="0" w:firstColumn="1" w:lastColumn="0" w:noHBand="0" w:noVBand="1"/>
      </w:tblPr>
      <w:tblGrid>
        <w:gridCol w:w="4863"/>
        <w:gridCol w:w="4863"/>
      </w:tblGrid>
      <w:tr w:rsidR="00A14AB4" w:rsidRPr="00B60475" w14:paraId="17FB6423" w14:textId="77777777" w:rsidTr="00F37A37">
        <w:tc>
          <w:tcPr>
            <w:tcW w:w="4863" w:type="dxa"/>
          </w:tcPr>
          <w:p w14:paraId="6B8ECAB9" w14:textId="0071E507"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Verified By:</w:t>
            </w:r>
            <w:r w:rsidRPr="00B60475">
              <w:rPr>
                <w:rFonts w:asciiTheme="minorHAnsi" w:hAnsiTheme="minorHAnsi" w:cstheme="minorHAnsi" w:ascii="Calibri" w:hAnsi="Calibri"/>
                <w:sz w:val="24"/>
                <w:szCs w:val="24"/>
              </w:rPr>
              <w:br/>
              <w:t xml:space="preserve">Name: </w:t>
            </w:r>
            <w:r w:rsidR="00C15948">
              <w:rPr>
                <w:rFonts w:asciiTheme="minorHAnsi" w:hAnsiTheme="minorHAnsi" w:cstheme="minorHAnsi" w:ascii="Calibri" w:hAnsi="Calibri"/>
                <w:sz w:val="24"/>
                <w:szCs w:val="24"/>
              </w:rPr>
              <w:t>Eng Choon Leong</w:t>
            </w:r>
            <w:r w:rsidRPr="00B60475">
              <w:rPr>
                <w:rFonts w:asciiTheme="minorHAnsi" w:hAnsiTheme="minorHAnsi" w:cstheme="minorHAnsi" w:ascii="Calibri" w:hAnsi="Calibri"/>
                <w:sz w:val="24"/>
                <w:szCs w:val="24"/>
              </w:rPr>
              <w:br/>
              <w:t>Appointment: Executive Director</w:t>
            </w:r>
            <w:r w:rsidRPr="00B60475">
              <w:rPr>
                <w:rFonts w:asciiTheme="minorHAnsi" w:hAnsiTheme="minorHAnsi" w:cstheme="minorHAnsi" w:ascii="Calibri" w:hAnsi="Calibri"/>
                <w:sz w:val="24"/>
                <w:szCs w:val="24"/>
              </w:rPr>
              <w:br/>
              <w:t>Date: 01 September 2026</w:t>
            </w:r>
          </w:p>
        </w:tc>
        <w:tc>
          <w:tcPr>
            <w:tcW w:w="4863" w:type="dxa"/>
          </w:tcPr>
          <w:p w14:paraId="60041736" w14:textId="05C75969" w:rsidR="009330D4" w:rsidRPr="00B60475" w:rsidRDefault="00000000" w:rsidP="00BB3C23">
            <w:pPr>
              <w:jc w:val="left"/>
              <w:rPr>
                <w:rFonts w:asciiTheme="minorHAnsi" w:hAnsiTheme="minorHAnsi" w:cstheme="minorHAnsi"/>
                <w:sz w:val="24"/>
                <w:szCs w:val="24"/>
              </w:rPr>
            </w:pPr>
            <w:r w:rsidRPr="00B60475">
              <w:rPr>
                <w:rFonts w:asciiTheme="minorHAnsi" w:hAnsiTheme="minorHAnsi" w:cstheme="minorHAnsi" w:ascii="Calibri" w:hAnsi="Calibri"/>
                <w:sz w:val="24"/>
                <w:szCs w:val="24"/>
              </w:rPr>
              <w:t>Approved By:</w:t>
            </w:r>
            <w:r w:rsidRPr="00B60475">
              <w:rPr>
                <w:rFonts w:asciiTheme="minorHAnsi" w:hAnsiTheme="minorHAnsi" w:cstheme="minorHAnsi" w:ascii="Calibri" w:hAnsi="Calibri"/>
                <w:sz w:val="24"/>
                <w:szCs w:val="24"/>
              </w:rPr>
              <w:br/>
              <w:t xml:space="preserve">Name: </w:t>
            </w:r>
            <w:r w:rsidR="00C15948">
              <w:rPr>
                <w:rFonts w:asciiTheme="minorHAnsi" w:hAnsiTheme="minorHAnsi" w:cstheme="minorHAnsi" w:ascii="Calibri" w:hAnsi="Calibri"/>
                <w:sz w:val="24"/>
                <w:szCs w:val="24"/>
              </w:rPr>
              <w:t>Amos Haw Chee Seng</w:t>
            </w:r>
            <w:r w:rsidRPr="00B60475">
              <w:rPr>
                <w:rFonts w:asciiTheme="minorHAnsi" w:hAnsiTheme="minorHAnsi" w:cstheme="minorHAnsi" w:ascii="Calibri" w:hAnsi="Calibri"/>
                <w:sz w:val="24"/>
                <w:szCs w:val="24"/>
              </w:rPr>
              <w:br/>
              <w:t>Appointment: Managing Director</w:t>
            </w:r>
            <w:r w:rsidRPr="00B60475">
              <w:rPr>
                <w:rFonts w:asciiTheme="minorHAnsi" w:hAnsiTheme="minorHAnsi" w:cstheme="minorHAnsi" w:ascii="Calibri" w:hAnsi="Calibri"/>
                <w:sz w:val="24"/>
                <w:szCs w:val="24"/>
              </w:rPr>
              <w:br/>
              <w:t>Date: 01 September 2026</w:t>
            </w:r>
          </w:p>
        </w:tc>
      </w:tr>
    </w:tbl>
    <w:p w14:paraId="223D4D50" w14:textId="77777777" w:rsidR="00A27FF7" w:rsidRPr="00B60475" w:rsidRDefault="00A27FF7" w:rsidP="00BB3C23">
      <w:pPr>
        <w:ind w:left="284"/>
        <w:rPr>
          <w:rFonts w:asciiTheme="minorHAnsi" w:hAnsiTheme="minorHAnsi" w:cstheme="minorHAnsi"/>
          <w:sz w:val="24"/>
          <w:szCs w:val="24"/>
        </w:rPr>
      </w:pPr>
    </w:p>
    <w:p w14:paraId="24CBAB30" w14:textId="77777777" w:rsidR="00A27FF7" w:rsidRPr="00B60475" w:rsidRDefault="00A14AB4" w:rsidP="00BB3C23">
      <w:pPr>
        <w:ind w:left="284"/>
        <w:rPr>
          <w:rFonts w:asciiTheme="minorHAnsi" w:hAnsiTheme="minorHAnsi" w:cstheme="minorHAnsi"/>
          <w:sz w:val="24"/>
          <w:szCs w:val="24"/>
        </w:rPr>
      </w:pPr>
      <w:r w:rsidRPr="00B60475">
        <w:rPr>
          <w:rFonts w:asciiTheme="minorHAnsi" w:hAnsiTheme="minorHAnsi" w:cstheme="minorHAnsi"/>
          <w:sz w:val="24"/>
          <w:szCs w:val="24"/>
        </w:rPr>
        <w:t>End</w:t>
      </w:r>
    </w:p>
    <w:sectPr w:rsidR="00A27FF7" w:rsidRPr="00B60475" w:rsidSect="00543B6A">
      <w:headerReference w:type="default" r:id="rId8"/>
      <w:footerReference w:type="default" r:id="rId11"/>
      <w:type w:val="continuous"/>
      <w:pgSz w:w="11900" w:h="16830"/>
      <w:pgMar w:top="640" w:right="560" w:bottom="280" w:left="132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C8916" w14:textId="77777777" w:rsidR="0078726F" w:rsidRDefault="0078726F" w:rsidP="00A40AF5">
      <w:r>
        <w:separator/>
      </w:r>
    </w:p>
  </w:endnote>
  <w:endnote w:type="continuationSeparator" w:id="0">
    <w:p w14:paraId="2021374B" w14:textId="77777777" w:rsidR="0078726F" w:rsidRDefault="0078726F" w:rsidP="00A40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1964D" w14:textId="77777777" w:rsidR="0078726F" w:rsidRDefault="0078726F" w:rsidP="00A40AF5">
      <w:r>
        <w:separator/>
      </w:r>
    </w:p>
  </w:footnote>
  <w:footnote w:type="continuationSeparator" w:id="0">
    <w:p w14:paraId="58FFCBD2" w14:textId="77777777" w:rsidR="0078726F" w:rsidRDefault="0078726F" w:rsidP="00A40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3"/>
      <w:gridCol w:w="3544"/>
      <w:gridCol w:w="1559"/>
      <w:gridCol w:w="1701"/>
      <w:gridCol w:w="1701"/>
    </w:tblGrid>
    <w:tr w:rsidR="00996DC3" w:rsidRPr="003826F5" w14:paraId="14127720" w14:textId="77777777" w:rsidTr="00B60475">
      <w:trPr>
        <w:trHeight w:val="454"/>
      </w:trPr>
      <w:tc>
        <w:tcPr>
          <w:tcW w:w="1163" w:type="dxa"/>
          <w:vMerge w:val="restart"/>
          <w:vAlign w:val="center"/>
        </w:tcPr>
        <w:p w14:paraId="77BFC8C6" w14:textId="3CABD8C0" w:rsidR="00996DC3" w:rsidRPr="008D58A6" w:rsidRDefault="00996DC3" w:rsidP="00A40AF5">
          <w:pPr>
            <w:pStyle w:val="Header"/>
            <w:jc w:val="center"/>
            <w:rPr>
              <w:sz w:val="12"/>
              <w:szCs w:val="12"/>
            </w:rPr>
          </w:pPr>
        </w:p>
        <w:p w14:paraId="138646A6" w14:textId="77777777" w:rsidR="00996DC3" w:rsidRPr="008D58A6" w:rsidRDefault="00996DC3" w:rsidP="00A40AF5">
          <w:pPr>
            <w:pStyle w:val="Header"/>
            <w:jc w:val="center"/>
            <w:rPr>
              <w:sz w:val="12"/>
              <w:szCs w:val="12"/>
            </w:rPr>
          </w:pPr>
        </w:p>
      </w:tc>
      <w:tc>
        <w:tcPr>
          <w:tcW w:w="3544" w:type="dxa"/>
          <w:vAlign w:val="center"/>
        </w:tcPr>
        <w:p w14:paraId="21510561" w14:textId="77777777" w:rsidR="00996DC3" w:rsidRPr="004706AD" w:rsidRDefault="00996DC3" w:rsidP="00A40AF5">
          <w:pPr>
            <w:pStyle w:val="Header"/>
            <w:jc w:val="center"/>
            <w:rPr>
              <w:sz w:val="16"/>
              <w:szCs w:val="16"/>
            </w:rPr>
          </w:pPr>
          <w:r>
            <w:rPr>
              <w:rFonts w:ascii="Calibri" w:hAnsi="Calibri"/>
              <w:sz w:val="24"/>
              <w:szCs w:val="16"/>
            </w:rPr>
            <w:t>OHSMS MANUAL</w:t>
          </w:r>
        </w:p>
      </w:tc>
      <w:tc>
        <w:tcPr>
          <w:tcW w:w="1559" w:type="dxa"/>
          <w:vMerge w:val="restart"/>
          <w:vAlign w:val="center"/>
        </w:tcPr>
        <w:p w14:paraId="3C48211F" w14:textId="77777777" w:rsidR="00996DC3" w:rsidRPr="001F0DC6" w:rsidRDefault="00996DC3" w:rsidP="00A40AF5">
          <w:pPr>
            <w:pStyle w:val="Header"/>
            <w:jc w:val="center"/>
            <w:rPr>
              <w:sz w:val="16"/>
              <w:szCs w:val="16"/>
            </w:rPr>
          </w:pPr>
          <w:r w:rsidRPr="001F0DC6">
            <w:rPr>
              <w:rFonts w:ascii="Calibri" w:hAnsi="Calibri"/>
              <w:sz w:val="24"/>
              <w:szCs w:val="16"/>
            </w:rPr>
            <w:t>Revision No.:</w:t>
          </w:r>
        </w:p>
        <w:p w14:paraId="362B75A8" w14:textId="77777777" w:rsidR="00996DC3" w:rsidRPr="001F0DC6" w:rsidRDefault="001162F3" w:rsidP="00A40AF5">
          <w:pPr>
            <w:pStyle w:val="Header"/>
            <w:jc w:val="center"/>
            <w:rPr>
              <w:sz w:val="16"/>
              <w:szCs w:val="16"/>
            </w:rPr>
          </w:pPr>
          <w:r>
            <w:rPr>
              <w:rFonts w:ascii="Calibri" w:hAnsi="Calibri"/>
              <w:sz w:val="24"/>
              <w:szCs w:val="16"/>
            </w:rPr>
            <w:t>0</w:t>
          </w:r>
        </w:p>
      </w:tc>
      <w:tc>
        <w:tcPr>
          <w:tcW w:w="1701" w:type="dxa"/>
          <w:vMerge w:val="restart"/>
          <w:vAlign w:val="center"/>
        </w:tcPr>
        <w:p w14:paraId="3C4D8E3D" w14:textId="77777777" w:rsidR="00996DC3" w:rsidRPr="001F0DC6" w:rsidRDefault="00996DC3" w:rsidP="00A40AF5">
          <w:pPr>
            <w:pStyle w:val="Header"/>
            <w:jc w:val="center"/>
            <w:rPr>
              <w:sz w:val="16"/>
              <w:szCs w:val="16"/>
            </w:rPr>
          </w:pPr>
          <w:r w:rsidRPr="001F0DC6">
            <w:rPr>
              <w:rFonts w:ascii="Calibri" w:hAnsi="Calibri"/>
              <w:sz w:val="24"/>
              <w:szCs w:val="16"/>
            </w:rPr>
            <w:t>Document</w:t>
          </w:r>
        </w:p>
        <w:p w14:paraId="06569CB2" w14:textId="77777777" w:rsidR="00996DC3" w:rsidRPr="001F0DC6" w:rsidRDefault="00996DC3" w:rsidP="00A40AF5">
          <w:pPr>
            <w:pStyle w:val="Header"/>
            <w:jc w:val="center"/>
            <w:rPr>
              <w:sz w:val="16"/>
              <w:szCs w:val="16"/>
            </w:rPr>
          </w:pPr>
          <w:r w:rsidRPr="001F0DC6">
            <w:rPr>
              <w:rFonts w:ascii="Calibri" w:hAnsi="Calibri"/>
              <w:sz w:val="24"/>
              <w:szCs w:val="16"/>
            </w:rPr>
            <w:t>Effective Date:</w:t>
          </w:r>
        </w:p>
        <w:p w14:paraId="43C606AC" w14:textId="77777777" w:rsidR="00996DC3" w:rsidRPr="001F0DC6" w:rsidRDefault="001162F3" w:rsidP="00A40AF5">
          <w:pPr>
            <w:pStyle w:val="Header"/>
            <w:jc w:val="center"/>
            <w:rPr>
              <w:sz w:val="16"/>
              <w:szCs w:val="16"/>
            </w:rPr>
          </w:pPr>
          <w:r>
            <w:rPr>
              <w:rFonts w:ascii="Calibri" w:hAnsi="Calibri"/>
              <w:sz w:val="24"/>
              <w:szCs w:val="16"/>
            </w:rPr>
            <w:t>01 Sept</w:t>
          </w:r>
          <w:r w:rsidR="00BF04E2" w:rsidRPr="001F0DC6">
            <w:rPr>
              <w:rFonts w:ascii="Calibri" w:hAnsi="Calibri"/>
              <w:sz w:val="24"/>
              <w:szCs w:val="16"/>
            </w:rPr>
            <w:t xml:space="preserve"> 202</w:t>
          </w:r>
          <w:r w:rsidR="000F277C" w:rsidRPr="001F0DC6">
            <w:rPr>
              <w:rFonts w:ascii="Calibri" w:hAnsi="Calibri"/>
              <w:sz w:val="24"/>
              <w:szCs w:val="16"/>
            </w:rPr>
            <w:t>6</w:t>
          </w:r>
        </w:p>
      </w:tc>
      <w:tc>
        <w:tcPr>
          <w:tcW w:w="1701" w:type="dxa"/>
          <w:vAlign w:val="center"/>
        </w:tcPr>
        <w:p w14:paraId="1EFABC31" w14:textId="77777777" w:rsidR="00996DC3" w:rsidRPr="004706AD" w:rsidRDefault="00996DC3" w:rsidP="00A40AF5">
          <w:pPr>
            <w:pStyle w:val="Header"/>
            <w:jc w:val="center"/>
            <w:rPr>
              <w:sz w:val="16"/>
              <w:szCs w:val="16"/>
            </w:rPr>
          </w:pPr>
          <w:r w:rsidRPr="004706AD">
            <w:rPr>
              <w:rFonts w:ascii="Calibri" w:hAnsi="Calibri"/>
              <w:sz w:val="24"/>
              <w:szCs w:val="16"/>
            </w:rPr>
            <w:t xml:space="preserve">Page </w:t>
          </w:r>
          <w:r>
            <w:rPr>
              <w:rStyle w:val="PageNumber"/>
              <w:rFonts w:ascii="Calibri" w:hAnsi="Calibri"/>
              <w:sz w:val="24"/>
              <w:szCs w:val="16"/>
            </w:rPr>
            <w:t>1</w:t>
          </w:r>
          <w:r w:rsidRPr="004706AD">
            <w:rPr>
              <w:rStyle w:val="PageNumber"/>
              <w:rFonts w:ascii="Calibri" w:hAnsi="Calibri"/>
              <w:sz w:val="24"/>
              <w:szCs w:val="16"/>
            </w:rPr>
            <w:t xml:space="preserve"> of </w:t>
          </w:r>
          <w:r>
            <w:rPr>
              <w:rStyle w:val="PageNumber"/>
              <w:rFonts w:ascii="Calibri" w:hAnsi="Calibri"/>
              <w:sz w:val="24"/>
              <w:szCs w:val="16"/>
            </w:rPr>
            <w:t>1</w:t>
          </w:r>
        </w:p>
      </w:tc>
    </w:tr>
    <w:tr w:rsidR="00996DC3" w:rsidRPr="003826F5" w14:paraId="47E653B3" w14:textId="77777777" w:rsidTr="00B60475">
      <w:trPr>
        <w:trHeight w:val="454"/>
      </w:trPr>
      <w:tc>
        <w:tcPr>
          <w:tcW w:w="1163" w:type="dxa"/>
          <w:vMerge/>
          <w:vAlign w:val="center"/>
        </w:tcPr>
        <w:p w14:paraId="2370B981" w14:textId="77777777" w:rsidR="00996DC3" w:rsidRPr="008D58A6" w:rsidRDefault="00996DC3" w:rsidP="00A40AF5">
          <w:pPr>
            <w:pStyle w:val="Header"/>
            <w:rPr>
              <w:sz w:val="12"/>
              <w:szCs w:val="12"/>
            </w:rPr>
          </w:pPr>
        </w:p>
      </w:tc>
      <w:tc>
        <w:tcPr>
          <w:tcW w:w="3544" w:type="dxa"/>
          <w:vAlign w:val="center"/>
        </w:tcPr>
        <w:p w14:paraId="36894A27" w14:textId="77777777" w:rsidR="00996DC3" w:rsidRPr="004706AD" w:rsidRDefault="00D55CEF" w:rsidP="00B511C9">
          <w:pPr>
            <w:pStyle w:val="Header"/>
            <w:jc w:val="center"/>
            <w:rPr>
              <w:b/>
              <w:sz w:val="20"/>
              <w:szCs w:val="20"/>
            </w:rPr>
          </w:pPr>
          <w:r>
            <w:rPr>
              <w:rFonts w:ascii="Calibri" w:hAnsi="Calibri"/>
              <w:b/>
              <w:sz w:val="24"/>
              <w:szCs w:val="20"/>
            </w:rPr>
            <w:t>Context Of Organization</w:t>
          </w:r>
        </w:p>
      </w:tc>
      <w:tc>
        <w:tcPr>
          <w:tcW w:w="1559" w:type="dxa"/>
          <w:vMerge/>
          <w:vAlign w:val="center"/>
        </w:tcPr>
        <w:p w14:paraId="4BEE8E2A" w14:textId="77777777" w:rsidR="00996DC3" w:rsidRPr="004706AD" w:rsidRDefault="00996DC3" w:rsidP="00A40AF5">
          <w:pPr>
            <w:pStyle w:val="Header"/>
            <w:jc w:val="center"/>
            <w:rPr>
              <w:sz w:val="16"/>
              <w:szCs w:val="16"/>
            </w:rPr>
          </w:pPr>
        </w:p>
      </w:tc>
      <w:tc>
        <w:tcPr>
          <w:tcW w:w="1701" w:type="dxa"/>
          <w:vMerge/>
        </w:tcPr>
        <w:p w14:paraId="19D0AC7D" w14:textId="77777777" w:rsidR="00996DC3" w:rsidRPr="004706AD" w:rsidRDefault="00996DC3" w:rsidP="00A40AF5">
          <w:pPr>
            <w:pStyle w:val="Header"/>
            <w:jc w:val="center"/>
            <w:rPr>
              <w:sz w:val="16"/>
              <w:szCs w:val="16"/>
            </w:rPr>
          </w:pPr>
        </w:p>
      </w:tc>
      <w:tc>
        <w:tcPr>
          <w:tcW w:w="1701" w:type="dxa"/>
          <w:vAlign w:val="center"/>
        </w:tcPr>
        <w:p w14:paraId="7575F8F8" w14:textId="77777777" w:rsidR="00996DC3" w:rsidRPr="004706AD" w:rsidRDefault="00996DC3" w:rsidP="00A40AF5">
          <w:pPr>
            <w:pStyle w:val="Header"/>
            <w:jc w:val="center"/>
            <w:rPr>
              <w:sz w:val="16"/>
              <w:szCs w:val="16"/>
            </w:rPr>
          </w:pPr>
          <w:r w:rsidRPr="004706AD">
            <w:rPr>
              <w:rFonts w:ascii="Calibri" w:hAnsi="Calibri"/>
              <w:sz w:val="24"/>
              <w:szCs w:val="16"/>
            </w:rPr>
            <w:t>Document Ref:</w:t>
          </w:r>
        </w:p>
        <w:p w14:paraId="49DD3FD3" w14:textId="77777777" w:rsidR="00996DC3" w:rsidRPr="004706AD" w:rsidRDefault="001162F3" w:rsidP="00A40AF5">
          <w:pPr>
            <w:pStyle w:val="Header"/>
            <w:jc w:val="center"/>
            <w:rPr>
              <w:sz w:val="16"/>
              <w:szCs w:val="16"/>
            </w:rPr>
          </w:pPr>
          <w:r>
            <w:rPr>
              <w:rFonts w:ascii="Calibri" w:hAnsi="Calibri"/>
              <w:sz w:val="24"/>
              <w:szCs w:val="16"/>
            </w:rPr>
            <w:t>OHSMS-04</w:t>
          </w:r>
        </w:p>
      </w:tc>
    </w:tr>
  </w:tbl>
  <w:p w14:paraId="6A25CFE5" w14:textId="77777777" w:rsidR="00A40AF5" w:rsidRDefault="00A40AF5" w:rsidP="00A40AF5">
    <w:pPr>
      <w:pStyle w:val="Header"/>
      <w:tabs>
        <w:tab w:val="clear" w:pos="9026"/>
        <w:tab w:val="right" w:pos="102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30F6F"/>
    <w:multiLevelType w:val="multilevel"/>
    <w:tmpl w:val="A3E8A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4D693B"/>
    <w:multiLevelType w:val="hybridMultilevel"/>
    <w:tmpl w:val="FBF48568"/>
    <w:lvl w:ilvl="0" w:tplc="CB24B58A">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22C05F9"/>
    <w:multiLevelType w:val="hybridMultilevel"/>
    <w:tmpl w:val="683E922E"/>
    <w:lvl w:ilvl="0" w:tplc="6526BB70">
      <w:start w:val="1"/>
      <w:numFmt w:val="decimal"/>
      <w:lvlText w:val="(%1)"/>
      <w:lvlJc w:val="left"/>
      <w:pPr>
        <w:ind w:left="720" w:hanging="360"/>
      </w:pPr>
      <w:rPr>
        <w:rFonts w:hint="default"/>
        <w:u w:val="single"/>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36E4C00"/>
    <w:multiLevelType w:val="hybridMultilevel"/>
    <w:tmpl w:val="50E85774"/>
    <w:lvl w:ilvl="0" w:tplc="35E62C70">
      <w:start w:val="4"/>
      <w:numFmt w:val="bullet"/>
      <w:lvlText w:val=""/>
      <w:lvlJc w:val="left"/>
      <w:pPr>
        <w:ind w:left="820" w:hanging="360"/>
      </w:pPr>
      <w:rPr>
        <w:rFonts w:ascii="Symbol" w:eastAsia="Arial" w:hAnsi="Symbol" w:cstheme="minorHAnsi" w:hint="default"/>
      </w:rPr>
    </w:lvl>
    <w:lvl w:ilvl="1" w:tplc="44090003" w:tentative="1">
      <w:start w:val="1"/>
      <w:numFmt w:val="bullet"/>
      <w:lvlText w:val="o"/>
      <w:lvlJc w:val="left"/>
      <w:pPr>
        <w:ind w:left="1540" w:hanging="360"/>
      </w:pPr>
      <w:rPr>
        <w:rFonts w:ascii="Courier New" w:hAnsi="Courier New" w:cs="Courier New" w:hint="default"/>
      </w:rPr>
    </w:lvl>
    <w:lvl w:ilvl="2" w:tplc="44090005" w:tentative="1">
      <w:start w:val="1"/>
      <w:numFmt w:val="bullet"/>
      <w:lvlText w:val=""/>
      <w:lvlJc w:val="left"/>
      <w:pPr>
        <w:ind w:left="2260" w:hanging="360"/>
      </w:pPr>
      <w:rPr>
        <w:rFonts w:ascii="Wingdings" w:hAnsi="Wingdings" w:hint="default"/>
      </w:rPr>
    </w:lvl>
    <w:lvl w:ilvl="3" w:tplc="44090001" w:tentative="1">
      <w:start w:val="1"/>
      <w:numFmt w:val="bullet"/>
      <w:lvlText w:val=""/>
      <w:lvlJc w:val="left"/>
      <w:pPr>
        <w:ind w:left="2980" w:hanging="360"/>
      </w:pPr>
      <w:rPr>
        <w:rFonts w:ascii="Symbol" w:hAnsi="Symbol" w:hint="default"/>
      </w:rPr>
    </w:lvl>
    <w:lvl w:ilvl="4" w:tplc="44090003" w:tentative="1">
      <w:start w:val="1"/>
      <w:numFmt w:val="bullet"/>
      <w:lvlText w:val="o"/>
      <w:lvlJc w:val="left"/>
      <w:pPr>
        <w:ind w:left="3700" w:hanging="360"/>
      </w:pPr>
      <w:rPr>
        <w:rFonts w:ascii="Courier New" w:hAnsi="Courier New" w:cs="Courier New" w:hint="default"/>
      </w:rPr>
    </w:lvl>
    <w:lvl w:ilvl="5" w:tplc="44090005" w:tentative="1">
      <w:start w:val="1"/>
      <w:numFmt w:val="bullet"/>
      <w:lvlText w:val=""/>
      <w:lvlJc w:val="left"/>
      <w:pPr>
        <w:ind w:left="4420" w:hanging="360"/>
      </w:pPr>
      <w:rPr>
        <w:rFonts w:ascii="Wingdings" w:hAnsi="Wingdings" w:hint="default"/>
      </w:rPr>
    </w:lvl>
    <w:lvl w:ilvl="6" w:tplc="44090001" w:tentative="1">
      <w:start w:val="1"/>
      <w:numFmt w:val="bullet"/>
      <w:lvlText w:val=""/>
      <w:lvlJc w:val="left"/>
      <w:pPr>
        <w:ind w:left="5140" w:hanging="360"/>
      </w:pPr>
      <w:rPr>
        <w:rFonts w:ascii="Symbol" w:hAnsi="Symbol" w:hint="default"/>
      </w:rPr>
    </w:lvl>
    <w:lvl w:ilvl="7" w:tplc="44090003" w:tentative="1">
      <w:start w:val="1"/>
      <w:numFmt w:val="bullet"/>
      <w:lvlText w:val="o"/>
      <w:lvlJc w:val="left"/>
      <w:pPr>
        <w:ind w:left="5860" w:hanging="360"/>
      </w:pPr>
      <w:rPr>
        <w:rFonts w:ascii="Courier New" w:hAnsi="Courier New" w:cs="Courier New" w:hint="default"/>
      </w:rPr>
    </w:lvl>
    <w:lvl w:ilvl="8" w:tplc="44090005" w:tentative="1">
      <w:start w:val="1"/>
      <w:numFmt w:val="bullet"/>
      <w:lvlText w:val=""/>
      <w:lvlJc w:val="left"/>
      <w:pPr>
        <w:ind w:left="6580" w:hanging="360"/>
      </w:pPr>
      <w:rPr>
        <w:rFonts w:ascii="Wingdings" w:hAnsi="Wingdings" w:hint="default"/>
      </w:rPr>
    </w:lvl>
  </w:abstractNum>
  <w:abstractNum w:abstractNumId="4" w15:restartNumberingAfterBreak="0">
    <w:nsid w:val="643A60AB"/>
    <w:multiLevelType w:val="hybridMultilevel"/>
    <w:tmpl w:val="44E2E9FE"/>
    <w:lvl w:ilvl="0" w:tplc="A918934C">
      <w:start w:val="4"/>
      <w:numFmt w:val="bullet"/>
      <w:lvlText w:val="-"/>
      <w:lvlJc w:val="left"/>
      <w:pPr>
        <w:ind w:left="820" w:hanging="360"/>
      </w:pPr>
      <w:rPr>
        <w:rFonts w:ascii="Calibri" w:eastAsia="Arial" w:hAnsi="Calibri" w:cs="Calibri" w:hint="default"/>
      </w:rPr>
    </w:lvl>
    <w:lvl w:ilvl="1" w:tplc="44090003" w:tentative="1">
      <w:start w:val="1"/>
      <w:numFmt w:val="bullet"/>
      <w:lvlText w:val="o"/>
      <w:lvlJc w:val="left"/>
      <w:pPr>
        <w:ind w:left="1540" w:hanging="360"/>
      </w:pPr>
      <w:rPr>
        <w:rFonts w:ascii="Courier New" w:hAnsi="Courier New" w:cs="Courier New" w:hint="default"/>
      </w:rPr>
    </w:lvl>
    <w:lvl w:ilvl="2" w:tplc="44090005" w:tentative="1">
      <w:start w:val="1"/>
      <w:numFmt w:val="bullet"/>
      <w:lvlText w:val=""/>
      <w:lvlJc w:val="left"/>
      <w:pPr>
        <w:ind w:left="2260" w:hanging="360"/>
      </w:pPr>
      <w:rPr>
        <w:rFonts w:ascii="Wingdings" w:hAnsi="Wingdings" w:hint="default"/>
      </w:rPr>
    </w:lvl>
    <w:lvl w:ilvl="3" w:tplc="44090001" w:tentative="1">
      <w:start w:val="1"/>
      <w:numFmt w:val="bullet"/>
      <w:lvlText w:val=""/>
      <w:lvlJc w:val="left"/>
      <w:pPr>
        <w:ind w:left="2980" w:hanging="360"/>
      </w:pPr>
      <w:rPr>
        <w:rFonts w:ascii="Symbol" w:hAnsi="Symbol" w:hint="default"/>
      </w:rPr>
    </w:lvl>
    <w:lvl w:ilvl="4" w:tplc="44090003" w:tentative="1">
      <w:start w:val="1"/>
      <w:numFmt w:val="bullet"/>
      <w:lvlText w:val="o"/>
      <w:lvlJc w:val="left"/>
      <w:pPr>
        <w:ind w:left="3700" w:hanging="360"/>
      </w:pPr>
      <w:rPr>
        <w:rFonts w:ascii="Courier New" w:hAnsi="Courier New" w:cs="Courier New" w:hint="default"/>
      </w:rPr>
    </w:lvl>
    <w:lvl w:ilvl="5" w:tplc="44090005" w:tentative="1">
      <w:start w:val="1"/>
      <w:numFmt w:val="bullet"/>
      <w:lvlText w:val=""/>
      <w:lvlJc w:val="left"/>
      <w:pPr>
        <w:ind w:left="4420" w:hanging="360"/>
      </w:pPr>
      <w:rPr>
        <w:rFonts w:ascii="Wingdings" w:hAnsi="Wingdings" w:hint="default"/>
      </w:rPr>
    </w:lvl>
    <w:lvl w:ilvl="6" w:tplc="44090001" w:tentative="1">
      <w:start w:val="1"/>
      <w:numFmt w:val="bullet"/>
      <w:lvlText w:val=""/>
      <w:lvlJc w:val="left"/>
      <w:pPr>
        <w:ind w:left="5140" w:hanging="360"/>
      </w:pPr>
      <w:rPr>
        <w:rFonts w:ascii="Symbol" w:hAnsi="Symbol" w:hint="default"/>
      </w:rPr>
    </w:lvl>
    <w:lvl w:ilvl="7" w:tplc="44090003" w:tentative="1">
      <w:start w:val="1"/>
      <w:numFmt w:val="bullet"/>
      <w:lvlText w:val="o"/>
      <w:lvlJc w:val="left"/>
      <w:pPr>
        <w:ind w:left="5860" w:hanging="360"/>
      </w:pPr>
      <w:rPr>
        <w:rFonts w:ascii="Courier New" w:hAnsi="Courier New" w:cs="Courier New" w:hint="default"/>
      </w:rPr>
    </w:lvl>
    <w:lvl w:ilvl="8" w:tplc="44090005" w:tentative="1">
      <w:start w:val="1"/>
      <w:numFmt w:val="bullet"/>
      <w:lvlText w:val=""/>
      <w:lvlJc w:val="left"/>
      <w:pPr>
        <w:ind w:left="6580" w:hanging="360"/>
      </w:pPr>
      <w:rPr>
        <w:rFonts w:ascii="Wingdings" w:hAnsi="Wingdings" w:hint="default"/>
      </w:rPr>
    </w:lvl>
  </w:abstractNum>
  <w:num w:numId="1" w16cid:durableId="1097794686">
    <w:abstractNumId w:val="0"/>
  </w:num>
  <w:num w:numId="2" w16cid:durableId="66609932">
    <w:abstractNumId w:val="3"/>
  </w:num>
  <w:num w:numId="3" w16cid:durableId="324211344">
    <w:abstractNumId w:val="4"/>
  </w:num>
  <w:num w:numId="4" w16cid:durableId="1367439976">
    <w:abstractNumId w:val="2"/>
  </w:num>
  <w:num w:numId="5" w16cid:durableId="1478953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608"/>
    <w:rsid w:val="00002433"/>
    <w:rsid w:val="000060E3"/>
    <w:rsid w:val="000145C1"/>
    <w:rsid w:val="00057B9F"/>
    <w:rsid w:val="0008223B"/>
    <w:rsid w:val="000B0026"/>
    <w:rsid w:val="000B439F"/>
    <w:rsid w:val="000D769D"/>
    <w:rsid w:val="000F277C"/>
    <w:rsid w:val="00101214"/>
    <w:rsid w:val="001162F3"/>
    <w:rsid w:val="001605D0"/>
    <w:rsid w:val="001C1659"/>
    <w:rsid w:val="001C75A3"/>
    <w:rsid w:val="001E1402"/>
    <w:rsid w:val="001F0DC6"/>
    <w:rsid w:val="00210952"/>
    <w:rsid w:val="00242322"/>
    <w:rsid w:val="00242F93"/>
    <w:rsid w:val="002A4C23"/>
    <w:rsid w:val="002A50C5"/>
    <w:rsid w:val="002A604F"/>
    <w:rsid w:val="002C387E"/>
    <w:rsid w:val="002C4138"/>
    <w:rsid w:val="002C7123"/>
    <w:rsid w:val="00301F58"/>
    <w:rsid w:val="00334A2F"/>
    <w:rsid w:val="00375825"/>
    <w:rsid w:val="0038400E"/>
    <w:rsid w:val="00384087"/>
    <w:rsid w:val="003966A3"/>
    <w:rsid w:val="003A7F7E"/>
    <w:rsid w:val="003B64AC"/>
    <w:rsid w:val="003C5D4C"/>
    <w:rsid w:val="003E0B84"/>
    <w:rsid w:val="003F2446"/>
    <w:rsid w:val="0041136E"/>
    <w:rsid w:val="004221D2"/>
    <w:rsid w:val="00440F01"/>
    <w:rsid w:val="004537E2"/>
    <w:rsid w:val="004A03A7"/>
    <w:rsid w:val="004B0B7C"/>
    <w:rsid w:val="004B745D"/>
    <w:rsid w:val="004F6B38"/>
    <w:rsid w:val="00511CFA"/>
    <w:rsid w:val="00543B6A"/>
    <w:rsid w:val="0054410A"/>
    <w:rsid w:val="005608FE"/>
    <w:rsid w:val="0056668A"/>
    <w:rsid w:val="005859CB"/>
    <w:rsid w:val="005F13C1"/>
    <w:rsid w:val="005F2CE3"/>
    <w:rsid w:val="00647DD9"/>
    <w:rsid w:val="006649C5"/>
    <w:rsid w:val="00695534"/>
    <w:rsid w:val="006A72FC"/>
    <w:rsid w:val="006A7AD8"/>
    <w:rsid w:val="006E40F2"/>
    <w:rsid w:val="006E5131"/>
    <w:rsid w:val="006E5FC4"/>
    <w:rsid w:val="0071590C"/>
    <w:rsid w:val="00724F5F"/>
    <w:rsid w:val="007559E3"/>
    <w:rsid w:val="007571EF"/>
    <w:rsid w:val="00777622"/>
    <w:rsid w:val="0078726F"/>
    <w:rsid w:val="007914E0"/>
    <w:rsid w:val="00794D3A"/>
    <w:rsid w:val="007A4033"/>
    <w:rsid w:val="007B30C7"/>
    <w:rsid w:val="007C4EFB"/>
    <w:rsid w:val="007E7DD1"/>
    <w:rsid w:val="00806EB6"/>
    <w:rsid w:val="0082561F"/>
    <w:rsid w:val="00825655"/>
    <w:rsid w:val="008305DB"/>
    <w:rsid w:val="008312C1"/>
    <w:rsid w:val="00872608"/>
    <w:rsid w:val="008858C4"/>
    <w:rsid w:val="0089213C"/>
    <w:rsid w:val="008A30A4"/>
    <w:rsid w:val="008F6BF3"/>
    <w:rsid w:val="00922309"/>
    <w:rsid w:val="00925276"/>
    <w:rsid w:val="009330D4"/>
    <w:rsid w:val="00956875"/>
    <w:rsid w:val="0096565A"/>
    <w:rsid w:val="009961D3"/>
    <w:rsid w:val="00996DC3"/>
    <w:rsid w:val="009D645F"/>
    <w:rsid w:val="009E271B"/>
    <w:rsid w:val="009E3C35"/>
    <w:rsid w:val="009F0D06"/>
    <w:rsid w:val="009F5F12"/>
    <w:rsid w:val="00A102A0"/>
    <w:rsid w:val="00A14AB4"/>
    <w:rsid w:val="00A2662A"/>
    <w:rsid w:val="00A27FF7"/>
    <w:rsid w:val="00A3248F"/>
    <w:rsid w:val="00A34B68"/>
    <w:rsid w:val="00A407DD"/>
    <w:rsid w:val="00A40AF5"/>
    <w:rsid w:val="00A82BD3"/>
    <w:rsid w:val="00A9152E"/>
    <w:rsid w:val="00A949E8"/>
    <w:rsid w:val="00AB1A96"/>
    <w:rsid w:val="00B22466"/>
    <w:rsid w:val="00B36BCB"/>
    <w:rsid w:val="00B454B3"/>
    <w:rsid w:val="00B511C9"/>
    <w:rsid w:val="00B60475"/>
    <w:rsid w:val="00B76EDE"/>
    <w:rsid w:val="00BA1D34"/>
    <w:rsid w:val="00BA5F3F"/>
    <w:rsid w:val="00BA7E83"/>
    <w:rsid w:val="00BB3C23"/>
    <w:rsid w:val="00BE5C9F"/>
    <w:rsid w:val="00BF04E2"/>
    <w:rsid w:val="00BF2EA8"/>
    <w:rsid w:val="00C15948"/>
    <w:rsid w:val="00C25E08"/>
    <w:rsid w:val="00C2728F"/>
    <w:rsid w:val="00C72671"/>
    <w:rsid w:val="00CC2A16"/>
    <w:rsid w:val="00CF13E8"/>
    <w:rsid w:val="00CF664F"/>
    <w:rsid w:val="00CF6913"/>
    <w:rsid w:val="00D01FAE"/>
    <w:rsid w:val="00D07D25"/>
    <w:rsid w:val="00D122A9"/>
    <w:rsid w:val="00D173BF"/>
    <w:rsid w:val="00D36789"/>
    <w:rsid w:val="00D43394"/>
    <w:rsid w:val="00D55CEF"/>
    <w:rsid w:val="00D860B7"/>
    <w:rsid w:val="00DC26F9"/>
    <w:rsid w:val="00DD17F6"/>
    <w:rsid w:val="00DD29E3"/>
    <w:rsid w:val="00E00E15"/>
    <w:rsid w:val="00E026BD"/>
    <w:rsid w:val="00E10028"/>
    <w:rsid w:val="00E6113A"/>
    <w:rsid w:val="00E90B82"/>
    <w:rsid w:val="00E92634"/>
    <w:rsid w:val="00E94B82"/>
    <w:rsid w:val="00E9722E"/>
    <w:rsid w:val="00EA216B"/>
    <w:rsid w:val="00EB59EC"/>
    <w:rsid w:val="00EC1CB1"/>
    <w:rsid w:val="00EE0BB3"/>
    <w:rsid w:val="00EE4E3F"/>
    <w:rsid w:val="00F035D0"/>
    <w:rsid w:val="00F061E9"/>
    <w:rsid w:val="00F254BE"/>
    <w:rsid w:val="00F31AC3"/>
    <w:rsid w:val="00F51E23"/>
    <w:rsid w:val="00F527F8"/>
    <w:rsid w:val="00F65F62"/>
    <w:rsid w:val="00F84608"/>
    <w:rsid w:val="00FB65FC"/>
    <w:rsid w:val="00FC0D74"/>
    <w:rsid w:val="00FD7A46"/>
    <w:rsid w:val="00FE0120"/>
    <w:rsid w:val="00FE471D"/>
    <w:rsid w:val="00FE5AE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ABFC2"/>
  <w15:docId w15:val="{7813C45F-0747-4FB6-B0FE-EE070D94E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04"/>
      <w:outlineLvl w:val="0"/>
    </w:pPr>
    <w:rPr>
      <w:b/>
      <w:bCs/>
      <w:u w:val="single" w:color="000000"/>
    </w:rPr>
  </w:style>
  <w:style w:type="paragraph" w:styleId="Heading5">
    <w:name w:val="heading 5"/>
    <w:basedOn w:val="Normal"/>
    <w:next w:val="Normal"/>
    <w:link w:val="Heading5Char"/>
    <w:uiPriority w:val="9"/>
    <w:semiHidden/>
    <w:unhideWhenUsed/>
    <w:qFormat/>
    <w:rsid w:val="002C413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40AF5"/>
    <w:pPr>
      <w:tabs>
        <w:tab w:val="center" w:pos="4513"/>
        <w:tab w:val="right" w:pos="9026"/>
      </w:tabs>
    </w:pPr>
  </w:style>
  <w:style w:type="character" w:customStyle="1" w:styleId="HeaderChar">
    <w:name w:val="Header Char"/>
    <w:basedOn w:val="DefaultParagraphFont"/>
    <w:link w:val="Header"/>
    <w:uiPriority w:val="99"/>
    <w:rsid w:val="00A40AF5"/>
    <w:rPr>
      <w:rFonts w:ascii="Arial" w:eastAsia="Arial" w:hAnsi="Arial" w:cs="Arial"/>
    </w:rPr>
  </w:style>
  <w:style w:type="paragraph" w:styleId="Footer">
    <w:name w:val="footer"/>
    <w:basedOn w:val="Normal"/>
    <w:link w:val="FooterChar"/>
    <w:uiPriority w:val="99"/>
    <w:unhideWhenUsed/>
    <w:rsid w:val="00A40AF5"/>
    <w:pPr>
      <w:tabs>
        <w:tab w:val="center" w:pos="4513"/>
        <w:tab w:val="right" w:pos="9026"/>
      </w:tabs>
    </w:pPr>
  </w:style>
  <w:style w:type="character" w:customStyle="1" w:styleId="FooterChar">
    <w:name w:val="Footer Char"/>
    <w:basedOn w:val="DefaultParagraphFont"/>
    <w:link w:val="Footer"/>
    <w:uiPriority w:val="99"/>
    <w:rsid w:val="00A40AF5"/>
    <w:rPr>
      <w:rFonts w:ascii="Arial" w:eastAsia="Arial" w:hAnsi="Arial" w:cs="Arial"/>
    </w:rPr>
  </w:style>
  <w:style w:type="character" w:styleId="PageNumber">
    <w:name w:val="page number"/>
    <w:basedOn w:val="DefaultParagraphFont"/>
    <w:rsid w:val="00A40AF5"/>
  </w:style>
  <w:style w:type="table" w:styleId="TableGrid">
    <w:name w:val="Table Grid"/>
    <w:basedOn w:val="TableNormal"/>
    <w:uiPriority w:val="59"/>
    <w:rsid w:val="001E1402"/>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5655"/>
    <w:rPr>
      <w:color w:val="0000FF" w:themeColor="hyperlink"/>
      <w:u w:val="single"/>
    </w:rPr>
  </w:style>
  <w:style w:type="character" w:styleId="UnresolvedMention">
    <w:name w:val="Unresolved Mention"/>
    <w:basedOn w:val="DefaultParagraphFont"/>
    <w:uiPriority w:val="99"/>
    <w:semiHidden/>
    <w:unhideWhenUsed/>
    <w:rsid w:val="00825655"/>
    <w:rPr>
      <w:color w:val="605E5C"/>
      <w:shd w:val="clear" w:color="auto" w:fill="E1DFDD"/>
    </w:rPr>
  </w:style>
  <w:style w:type="character" w:customStyle="1" w:styleId="Heading5Char">
    <w:name w:val="Heading 5 Char"/>
    <w:basedOn w:val="DefaultParagraphFont"/>
    <w:link w:val="Heading5"/>
    <w:uiPriority w:val="9"/>
    <w:semiHidden/>
    <w:rsid w:val="002C4138"/>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9777">
      <w:bodyDiv w:val="1"/>
      <w:marLeft w:val="0"/>
      <w:marRight w:val="0"/>
      <w:marTop w:val="0"/>
      <w:marBottom w:val="0"/>
      <w:divBdr>
        <w:top w:val="none" w:sz="0" w:space="0" w:color="auto"/>
        <w:left w:val="none" w:sz="0" w:space="0" w:color="auto"/>
        <w:bottom w:val="none" w:sz="0" w:space="0" w:color="auto"/>
        <w:right w:val="none" w:sz="0" w:space="0" w:color="auto"/>
      </w:divBdr>
    </w:div>
    <w:div w:id="114493156">
      <w:bodyDiv w:val="1"/>
      <w:marLeft w:val="0"/>
      <w:marRight w:val="0"/>
      <w:marTop w:val="0"/>
      <w:marBottom w:val="0"/>
      <w:divBdr>
        <w:top w:val="none" w:sz="0" w:space="0" w:color="auto"/>
        <w:left w:val="none" w:sz="0" w:space="0" w:color="auto"/>
        <w:bottom w:val="none" w:sz="0" w:space="0" w:color="auto"/>
        <w:right w:val="none" w:sz="0" w:space="0" w:color="auto"/>
      </w:divBdr>
    </w:div>
    <w:div w:id="292947757">
      <w:bodyDiv w:val="1"/>
      <w:marLeft w:val="0"/>
      <w:marRight w:val="0"/>
      <w:marTop w:val="0"/>
      <w:marBottom w:val="0"/>
      <w:divBdr>
        <w:top w:val="none" w:sz="0" w:space="0" w:color="auto"/>
        <w:left w:val="none" w:sz="0" w:space="0" w:color="auto"/>
        <w:bottom w:val="none" w:sz="0" w:space="0" w:color="auto"/>
        <w:right w:val="none" w:sz="0" w:space="0" w:color="auto"/>
      </w:divBdr>
    </w:div>
    <w:div w:id="534735108">
      <w:bodyDiv w:val="1"/>
      <w:marLeft w:val="0"/>
      <w:marRight w:val="0"/>
      <w:marTop w:val="0"/>
      <w:marBottom w:val="0"/>
      <w:divBdr>
        <w:top w:val="none" w:sz="0" w:space="0" w:color="auto"/>
        <w:left w:val="none" w:sz="0" w:space="0" w:color="auto"/>
        <w:bottom w:val="none" w:sz="0" w:space="0" w:color="auto"/>
        <w:right w:val="none" w:sz="0" w:space="0" w:color="auto"/>
      </w:divBdr>
    </w:div>
    <w:div w:id="684523695">
      <w:bodyDiv w:val="1"/>
      <w:marLeft w:val="0"/>
      <w:marRight w:val="0"/>
      <w:marTop w:val="0"/>
      <w:marBottom w:val="0"/>
      <w:divBdr>
        <w:top w:val="none" w:sz="0" w:space="0" w:color="auto"/>
        <w:left w:val="none" w:sz="0" w:space="0" w:color="auto"/>
        <w:bottom w:val="none" w:sz="0" w:space="0" w:color="auto"/>
        <w:right w:val="none" w:sz="0" w:space="0" w:color="auto"/>
      </w:divBdr>
    </w:div>
    <w:div w:id="685861192">
      <w:bodyDiv w:val="1"/>
      <w:marLeft w:val="0"/>
      <w:marRight w:val="0"/>
      <w:marTop w:val="0"/>
      <w:marBottom w:val="0"/>
      <w:divBdr>
        <w:top w:val="none" w:sz="0" w:space="0" w:color="auto"/>
        <w:left w:val="none" w:sz="0" w:space="0" w:color="auto"/>
        <w:bottom w:val="none" w:sz="0" w:space="0" w:color="auto"/>
        <w:right w:val="none" w:sz="0" w:space="0" w:color="auto"/>
      </w:divBdr>
    </w:div>
    <w:div w:id="720862930">
      <w:bodyDiv w:val="1"/>
      <w:marLeft w:val="0"/>
      <w:marRight w:val="0"/>
      <w:marTop w:val="0"/>
      <w:marBottom w:val="0"/>
      <w:divBdr>
        <w:top w:val="none" w:sz="0" w:space="0" w:color="auto"/>
        <w:left w:val="none" w:sz="0" w:space="0" w:color="auto"/>
        <w:bottom w:val="none" w:sz="0" w:space="0" w:color="auto"/>
        <w:right w:val="none" w:sz="0" w:space="0" w:color="auto"/>
      </w:divBdr>
    </w:div>
    <w:div w:id="809978824">
      <w:bodyDiv w:val="1"/>
      <w:marLeft w:val="0"/>
      <w:marRight w:val="0"/>
      <w:marTop w:val="0"/>
      <w:marBottom w:val="0"/>
      <w:divBdr>
        <w:top w:val="none" w:sz="0" w:space="0" w:color="auto"/>
        <w:left w:val="none" w:sz="0" w:space="0" w:color="auto"/>
        <w:bottom w:val="none" w:sz="0" w:space="0" w:color="auto"/>
        <w:right w:val="none" w:sz="0" w:space="0" w:color="auto"/>
      </w:divBdr>
    </w:div>
    <w:div w:id="855122217">
      <w:bodyDiv w:val="1"/>
      <w:marLeft w:val="0"/>
      <w:marRight w:val="0"/>
      <w:marTop w:val="0"/>
      <w:marBottom w:val="0"/>
      <w:divBdr>
        <w:top w:val="none" w:sz="0" w:space="0" w:color="auto"/>
        <w:left w:val="none" w:sz="0" w:space="0" w:color="auto"/>
        <w:bottom w:val="none" w:sz="0" w:space="0" w:color="auto"/>
        <w:right w:val="none" w:sz="0" w:space="0" w:color="auto"/>
      </w:divBdr>
    </w:div>
    <w:div w:id="1056394075">
      <w:bodyDiv w:val="1"/>
      <w:marLeft w:val="0"/>
      <w:marRight w:val="0"/>
      <w:marTop w:val="0"/>
      <w:marBottom w:val="0"/>
      <w:divBdr>
        <w:top w:val="none" w:sz="0" w:space="0" w:color="auto"/>
        <w:left w:val="none" w:sz="0" w:space="0" w:color="auto"/>
        <w:bottom w:val="none" w:sz="0" w:space="0" w:color="auto"/>
        <w:right w:val="none" w:sz="0" w:space="0" w:color="auto"/>
      </w:divBdr>
    </w:div>
    <w:div w:id="1249851552">
      <w:bodyDiv w:val="1"/>
      <w:marLeft w:val="0"/>
      <w:marRight w:val="0"/>
      <w:marTop w:val="0"/>
      <w:marBottom w:val="0"/>
      <w:divBdr>
        <w:top w:val="none" w:sz="0" w:space="0" w:color="auto"/>
        <w:left w:val="none" w:sz="0" w:space="0" w:color="auto"/>
        <w:bottom w:val="none" w:sz="0" w:space="0" w:color="auto"/>
        <w:right w:val="none" w:sz="0" w:space="0" w:color="auto"/>
      </w:divBdr>
    </w:div>
    <w:div w:id="1300957682">
      <w:bodyDiv w:val="1"/>
      <w:marLeft w:val="0"/>
      <w:marRight w:val="0"/>
      <w:marTop w:val="0"/>
      <w:marBottom w:val="0"/>
      <w:divBdr>
        <w:top w:val="none" w:sz="0" w:space="0" w:color="auto"/>
        <w:left w:val="none" w:sz="0" w:space="0" w:color="auto"/>
        <w:bottom w:val="none" w:sz="0" w:space="0" w:color="auto"/>
        <w:right w:val="none" w:sz="0" w:space="0" w:color="auto"/>
      </w:divBdr>
    </w:div>
    <w:div w:id="1493066511">
      <w:bodyDiv w:val="1"/>
      <w:marLeft w:val="0"/>
      <w:marRight w:val="0"/>
      <w:marTop w:val="0"/>
      <w:marBottom w:val="0"/>
      <w:divBdr>
        <w:top w:val="none" w:sz="0" w:space="0" w:color="auto"/>
        <w:left w:val="none" w:sz="0" w:space="0" w:color="auto"/>
        <w:bottom w:val="none" w:sz="0" w:space="0" w:color="auto"/>
        <w:right w:val="none" w:sz="0" w:space="0" w:color="auto"/>
      </w:divBdr>
    </w:div>
    <w:div w:id="1591698922">
      <w:bodyDiv w:val="1"/>
      <w:marLeft w:val="0"/>
      <w:marRight w:val="0"/>
      <w:marTop w:val="0"/>
      <w:marBottom w:val="0"/>
      <w:divBdr>
        <w:top w:val="none" w:sz="0" w:space="0" w:color="auto"/>
        <w:left w:val="none" w:sz="0" w:space="0" w:color="auto"/>
        <w:bottom w:val="none" w:sz="0" w:space="0" w:color="auto"/>
        <w:right w:val="none" w:sz="0" w:space="0" w:color="auto"/>
      </w:divBdr>
    </w:div>
    <w:div w:id="1601596800">
      <w:bodyDiv w:val="1"/>
      <w:marLeft w:val="0"/>
      <w:marRight w:val="0"/>
      <w:marTop w:val="0"/>
      <w:marBottom w:val="0"/>
      <w:divBdr>
        <w:top w:val="none" w:sz="0" w:space="0" w:color="auto"/>
        <w:left w:val="none" w:sz="0" w:space="0" w:color="auto"/>
        <w:bottom w:val="none" w:sz="0" w:space="0" w:color="auto"/>
        <w:right w:val="none" w:sz="0" w:space="0" w:color="auto"/>
      </w:divBdr>
    </w:div>
    <w:div w:id="1618488593">
      <w:bodyDiv w:val="1"/>
      <w:marLeft w:val="0"/>
      <w:marRight w:val="0"/>
      <w:marTop w:val="0"/>
      <w:marBottom w:val="0"/>
      <w:divBdr>
        <w:top w:val="none" w:sz="0" w:space="0" w:color="auto"/>
        <w:left w:val="none" w:sz="0" w:space="0" w:color="auto"/>
        <w:bottom w:val="none" w:sz="0" w:space="0" w:color="auto"/>
        <w:right w:val="none" w:sz="0" w:space="0" w:color="auto"/>
      </w:divBdr>
    </w:div>
    <w:div w:id="1739087759">
      <w:bodyDiv w:val="1"/>
      <w:marLeft w:val="0"/>
      <w:marRight w:val="0"/>
      <w:marTop w:val="0"/>
      <w:marBottom w:val="0"/>
      <w:divBdr>
        <w:top w:val="none" w:sz="0" w:space="0" w:color="auto"/>
        <w:left w:val="none" w:sz="0" w:space="0" w:color="auto"/>
        <w:bottom w:val="none" w:sz="0" w:space="0" w:color="auto"/>
        <w:right w:val="none" w:sz="0" w:space="0" w:color="auto"/>
      </w:divBdr>
    </w:div>
    <w:div w:id="1778941498">
      <w:bodyDiv w:val="1"/>
      <w:marLeft w:val="0"/>
      <w:marRight w:val="0"/>
      <w:marTop w:val="0"/>
      <w:marBottom w:val="0"/>
      <w:divBdr>
        <w:top w:val="none" w:sz="0" w:space="0" w:color="auto"/>
        <w:left w:val="none" w:sz="0" w:space="0" w:color="auto"/>
        <w:bottom w:val="none" w:sz="0" w:space="0" w:color="auto"/>
        <w:right w:val="none" w:sz="0" w:space="0" w:color="auto"/>
      </w:divBdr>
    </w:div>
    <w:div w:id="1789467950">
      <w:bodyDiv w:val="1"/>
      <w:marLeft w:val="0"/>
      <w:marRight w:val="0"/>
      <w:marTop w:val="0"/>
      <w:marBottom w:val="0"/>
      <w:divBdr>
        <w:top w:val="none" w:sz="0" w:space="0" w:color="auto"/>
        <w:left w:val="none" w:sz="0" w:space="0" w:color="auto"/>
        <w:bottom w:val="none" w:sz="0" w:space="0" w:color="auto"/>
        <w:right w:val="none" w:sz="0" w:space="0" w:color="auto"/>
      </w:divBdr>
    </w:div>
    <w:div w:id="1867136535">
      <w:bodyDiv w:val="1"/>
      <w:marLeft w:val="0"/>
      <w:marRight w:val="0"/>
      <w:marTop w:val="0"/>
      <w:marBottom w:val="0"/>
      <w:divBdr>
        <w:top w:val="none" w:sz="0" w:space="0" w:color="auto"/>
        <w:left w:val="none" w:sz="0" w:space="0" w:color="auto"/>
        <w:bottom w:val="none" w:sz="0" w:space="0" w:color="auto"/>
        <w:right w:val="none" w:sz="0" w:space="0" w:color="auto"/>
      </w:divBdr>
    </w:div>
    <w:div w:id="1875922209">
      <w:bodyDiv w:val="1"/>
      <w:marLeft w:val="0"/>
      <w:marRight w:val="0"/>
      <w:marTop w:val="0"/>
      <w:marBottom w:val="0"/>
      <w:divBdr>
        <w:top w:val="none" w:sz="0" w:space="0" w:color="auto"/>
        <w:left w:val="none" w:sz="0" w:space="0" w:color="auto"/>
        <w:bottom w:val="none" w:sz="0" w:space="0" w:color="auto"/>
        <w:right w:val="none" w:sz="0" w:space="0" w:color="auto"/>
      </w:divBdr>
    </w:div>
    <w:div w:id="1889028940">
      <w:bodyDiv w:val="1"/>
      <w:marLeft w:val="0"/>
      <w:marRight w:val="0"/>
      <w:marTop w:val="0"/>
      <w:marBottom w:val="0"/>
      <w:divBdr>
        <w:top w:val="none" w:sz="0" w:space="0" w:color="auto"/>
        <w:left w:val="none" w:sz="0" w:space="0" w:color="auto"/>
        <w:bottom w:val="none" w:sz="0" w:space="0" w:color="auto"/>
        <w:right w:val="none" w:sz="0" w:space="0" w:color="auto"/>
      </w:divBdr>
    </w:div>
    <w:div w:id="1941637823">
      <w:bodyDiv w:val="1"/>
      <w:marLeft w:val="0"/>
      <w:marRight w:val="0"/>
      <w:marTop w:val="0"/>
      <w:marBottom w:val="0"/>
      <w:divBdr>
        <w:top w:val="none" w:sz="0" w:space="0" w:color="auto"/>
        <w:left w:val="none" w:sz="0" w:space="0" w:color="auto"/>
        <w:bottom w:val="none" w:sz="0" w:space="0" w:color="auto"/>
        <w:right w:val="none" w:sz="0" w:space="0" w:color="auto"/>
      </w:divBdr>
    </w:div>
    <w:div w:id="1965773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043B9-4E3F-4C37-A590-5B4DB736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2898</Words>
  <Characters>16519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ISO Flow Chart Template</vt:lpstr>
    </vt:vector>
  </TitlesOfParts>
  <Company/>
  <LinksUpToDate>false</LinksUpToDate>
  <CharactersWithSpaces>19379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ISO Flow Chart Template</dc:title>
  <dc:subject>ISO9002</dc:subject>
  <dc:creator>Mohamed Sulaiman Suhaibuddeen</dc:creator>
  <cp:lastModifiedBy>steadytrack</cp:lastModifiedBy>
  <cp:revision>4</cp:revision>
  <cp:lastPrinted>2026-07-19T09:48:00Z</cp:lastPrinted>
  <dcterms:created xsi:type="dcterms:W3CDTF">2026-08-23T05:45:00Z</dcterms:created>
  <dcterms:modified xsi:type="dcterms:W3CDTF">2026-08-23T05:46:00Z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2018-11-16T00:00:00Z</vt:filetime>
  </property>
  <property fmtid="{D5CDD505-2E9C-101B-9397-08002B2CF9AE}" pid="3" name="Creator">
    <vt:lpwstr>Microsoft® Visio® 2016</vt:lpwstr>
  </property>
  <property fmtid="{D5CDD505-2E9C-101B-9397-08002B2CF9AE}" pid="4" name="LastSaved">
    <vt:filetime>2024-11-11T00:00:00Z</vt:filetime>
  </property>
  <property fmtid="{D5CDD505-2E9C-101B-9397-08002B2CF9AE}" pid="5" name="Producer">
    <vt:lpwstr>Microsoft® Visio® 2016</vt:lpwstr>
  </property>
</Properties>
</file>