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7966"/>
      </w:tblGrid>
      <w:tr w:rsidR="001E1402" w:rsidRPr="003C4ED1" w14:paraId="20B55B25" w14:textId="77777777" w:rsidTr="00643246">
        <w:tc>
          <w:tcPr>
            <w:tcW w:w="1792" w:type="dxa"/>
          </w:tcPr>
          <w:p w14:paraId="4ECF67AF" w14:textId="77777777" w:rsidR="001E1402" w:rsidRPr="003C4ED1" w:rsidRDefault="001E1402" w:rsidP="00643246">
            <w:pPr>
              <w:ind w:left="11" w:hanging="11"/>
              <w:rPr>
                <w:rFonts w:asciiTheme="minorHAnsi" w:hAnsiTheme="minorHAnsi" w:cstheme="minorHAnsi"/>
                <w:sz w:val="24"/>
                <w:szCs w:val="24"/>
              </w:rPr>
            </w:pPr>
            <w:r w:rsidRPr="003C4ED1">
              <w:rPr>
                <w:rFonts w:asciiTheme="minorHAnsi" w:hAnsiTheme="minorHAnsi" w:cstheme="minorHAnsi"/>
                <w:sz w:val="24"/>
                <w:szCs w:val="24"/>
              </w:rPr>
              <w:t>Purpose:</w:t>
            </w:r>
          </w:p>
        </w:tc>
        <w:tc>
          <w:tcPr>
            <w:tcW w:w="7966" w:type="dxa"/>
          </w:tcPr>
          <w:p w14:paraId="64892537" w14:textId="136FEC6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To establish </w:t>
            </w:r>
            <w:r w:rsidR="003C4ED1">
              <w:rPr>
                <w:rFonts w:asciiTheme="minorHAnsi" w:hAnsiTheme="minorHAnsi" w:cstheme="minorHAnsi"/>
                <w:sz w:val="24"/>
                <w:szCs w:val="24"/>
              </w:rPr>
              <w:t xml:space="preserve">the </w:t>
            </w:r>
            <w:r w:rsidRPr="003C4ED1">
              <w:rPr>
                <w:rFonts w:asciiTheme="minorHAnsi" w:hAnsiTheme="minorHAnsi" w:cstheme="minorHAnsi"/>
                <w:sz w:val="24"/>
                <w:szCs w:val="24"/>
              </w:rPr>
              <w:t>method for determining, monitoring and reviewing external and internal issues that can affect the Company’s ability to achieve the intended outcomes of its MS ISO 45001:2018 Occupational Health and Safety Management System. The assessment supports strategic planning, prevention of work-related injury and ill health, compliance with applicable requirements, worker consultation and continual improvement across the Company’s Mechanical and Electrical engineering and contracting activities.</w:t>
            </w:r>
          </w:p>
          <w:p w14:paraId="05C99066" w14:textId="77777777" w:rsidR="003C4ED1" w:rsidRPr="003C4ED1" w:rsidRDefault="003C4ED1" w:rsidP="00643246">
            <w:pPr>
              <w:rPr>
                <w:rFonts w:asciiTheme="minorHAnsi" w:hAnsiTheme="minorHAnsi" w:cstheme="minorHAnsi"/>
                <w:sz w:val="24"/>
                <w:szCs w:val="24"/>
              </w:rPr>
            </w:pPr>
          </w:p>
        </w:tc>
      </w:tr>
      <w:tr w:rsidR="001E1402" w:rsidRPr="003C4ED1" w14:paraId="14BB11CC" w14:textId="77777777" w:rsidTr="00643246">
        <w:tc>
          <w:tcPr>
            <w:tcW w:w="1792" w:type="dxa"/>
          </w:tcPr>
          <w:p w14:paraId="687655DB" w14:textId="77777777" w:rsidR="001E1402" w:rsidRPr="003C4ED1" w:rsidRDefault="001E1402" w:rsidP="00643246">
            <w:pPr>
              <w:rPr>
                <w:rFonts w:asciiTheme="minorHAnsi" w:hAnsiTheme="minorHAnsi" w:cstheme="minorHAnsi"/>
                <w:sz w:val="24"/>
                <w:szCs w:val="24"/>
              </w:rPr>
            </w:pPr>
            <w:r w:rsidRPr="003C4ED1">
              <w:rPr>
                <w:rFonts w:asciiTheme="minorHAnsi" w:hAnsiTheme="minorHAnsi" w:cstheme="minorHAnsi"/>
                <w:sz w:val="24"/>
                <w:szCs w:val="24"/>
              </w:rPr>
              <w:t>Scope:</w:t>
            </w:r>
          </w:p>
        </w:tc>
        <w:tc>
          <w:tcPr>
            <w:tcW w:w="7966" w:type="dxa"/>
          </w:tcPr>
          <w:p w14:paraId="198CE8FF"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This document applies to the provision of supply, installation, maintenance and servicing of Mechanical and Electrical systems undertaken at corporate offices, project sites, workshops, stores and temporary facilities. It covers 132 kV substation construction, 33/11 kV substations, continuous glucose system manufacturing plants, industrial and green plants, utility infrastructure, commercial and residential developments, service and maintenance operations, data centres and overseas projects under the Company’s control or influence.</w:t>
            </w:r>
          </w:p>
          <w:p w14:paraId="1EC8B456" w14:textId="77777777" w:rsidR="003C4ED1" w:rsidRPr="003C4ED1" w:rsidRDefault="003C4ED1" w:rsidP="00643246">
            <w:pPr>
              <w:rPr>
                <w:rFonts w:asciiTheme="minorHAnsi" w:hAnsiTheme="minorHAnsi" w:cstheme="minorHAnsi"/>
                <w:sz w:val="24"/>
                <w:szCs w:val="24"/>
              </w:rPr>
            </w:pPr>
          </w:p>
        </w:tc>
      </w:tr>
      <w:tr w:rsidR="00A51855" w:rsidRPr="003C4ED1" w14:paraId="0F2C5FA6" w14:textId="77777777" w:rsidTr="00643246">
        <w:tc>
          <w:tcPr>
            <w:tcW w:w="1792" w:type="dxa"/>
          </w:tcPr>
          <w:p w14:paraId="67A68EAE" w14:textId="77777777" w:rsidR="00A51855" w:rsidRPr="003C4ED1" w:rsidRDefault="00A51855" w:rsidP="00643246">
            <w:pPr>
              <w:rPr>
                <w:rFonts w:asciiTheme="minorHAnsi" w:hAnsiTheme="minorHAnsi" w:cstheme="minorHAnsi"/>
                <w:sz w:val="24"/>
                <w:szCs w:val="24"/>
              </w:rPr>
            </w:pPr>
            <w:r w:rsidRPr="003C4ED1">
              <w:rPr>
                <w:rFonts w:asciiTheme="minorHAnsi" w:hAnsiTheme="minorHAnsi" w:cstheme="minorHAnsi"/>
                <w:sz w:val="24"/>
                <w:szCs w:val="24"/>
              </w:rPr>
              <w:t>Duties &amp; Responsibilities:</w:t>
            </w:r>
          </w:p>
        </w:tc>
        <w:tc>
          <w:tcPr>
            <w:tcW w:w="7966" w:type="dxa"/>
          </w:tcPr>
          <w:p w14:paraId="06F9A2B9" w14:textId="1C0C7BF3" w:rsidR="003C4ED1" w:rsidRDefault="003C4ED1" w:rsidP="00643246">
            <w:pPr>
              <w:rPr>
                <w:rFonts w:asciiTheme="minorHAnsi" w:hAnsiTheme="minorHAnsi" w:cstheme="minorHAnsi"/>
                <w:sz w:val="24"/>
                <w:szCs w:val="24"/>
              </w:rPr>
            </w:pPr>
            <w:r>
              <w:rPr>
                <w:rFonts w:asciiTheme="minorHAnsi" w:hAnsiTheme="minorHAnsi" w:cstheme="minorHAnsi"/>
                <w:sz w:val="24"/>
                <w:szCs w:val="24"/>
                <w:u w:val="single"/>
              </w:rPr>
              <w:t>Executive</w:t>
            </w:r>
            <w:r w:rsidRPr="003C4ED1">
              <w:rPr>
                <w:rFonts w:asciiTheme="minorHAnsi" w:hAnsiTheme="minorHAnsi" w:cstheme="minorHAnsi"/>
                <w:sz w:val="24"/>
                <w:szCs w:val="24"/>
                <w:u w:val="single"/>
              </w:rPr>
              <w:t xml:space="preserve"> Director</w:t>
            </w:r>
            <w:r>
              <w:rPr>
                <w:rFonts w:asciiTheme="minorHAnsi" w:hAnsiTheme="minorHAnsi" w:cstheme="minorHAnsi"/>
                <w:sz w:val="24"/>
                <w:szCs w:val="24"/>
                <w:u w:val="single"/>
              </w:rPr>
              <w:t xml:space="preserve"> (</w:t>
            </w:r>
            <w:proofErr w:type="gramStart"/>
            <w:r>
              <w:rPr>
                <w:rFonts w:asciiTheme="minorHAnsi" w:hAnsiTheme="minorHAnsi" w:cstheme="minorHAnsi"/>
                <w:sz w:val="24"/>
                <w:szCs w:val="24"/>
                <w:u w:val="single"/>
              </w:rPr>
              <w:t>ED)</w:t>
            </w:r>
            <w:r>
              <w:rPr>
                <w:rFonts w:asciiTheme="minorHAnsi" w:hAnsiTheme="minorHAnsi" w:cstheme="minorHAnsi"/>
                <w:sz w:val="24"/>
                <w:szCs w:val="24"/>
              </w:rPr>
              <w:t>:</w:t>
            </w:r>
            <w:proofErr w:type="gramEnd"/>
            <w:r w:rsidRPr="003C4ED1">
              <w:rPr>
                <w:rFonts w:asciiTheme="minorHAnsi" w:hAnsiTheme="minorHAnsi" w:cstheme="minorHAnsi"/>
                <w:sz w:val="24"/>
                <w:szCs w:val="24"/>
              </w:rPr>
              <w:t xml:space="preserve"> </w:t>
            </w:r>
            <w:proofErr w:type="gramStart"/>
            <w:r w:rsidRPr="003C4ED1">
              <w:rPr>
                <w:rFonts w:asciiTheme="minorHAnsi" w:hAnsiTheme="minorHAnsi" w:cstheme="minorHAnsi"/>
                <w:sz w:val="24"/>
                <w:szCs w:val="24"/>
              </w:rPr>
              <w:t>shall</w:t>
            </w:r>
            <w:proofErr w:type="gramEnd"/>
            <w:r w:rsidRPr="003C4ED1">
              <w:rPr>
                <w:rFonts w:asciiTheme="minorHAnsi" w:hAnsiTheme="minorHAnsi" w:cstheme="minorHAnsi"/>
                <w:sz w:val="24"/>
                <w:szCs w:val="24"/>
              </w:rPr>
              <w:t xml:space="preserve"> ensure that relevant context issues are considered in strategic direction and management review.</w:t>
            </w:r>
          </w:p>
          <w:p w14:paraId="6DFEABD7" w14:textId="77754611" w:rsid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u w:val="single"/>
              </w:rPr>
              <w:t>ISO Manager</w:t>
            </w:r>
            <w:r w:rsidR="003C4ED1">
              <w:rPr>
                <w:rFonts w:asciiTheme="minorHAnsi" w:hAnsiTheme="minorHAnsi" w:cstheme="minorHAnsi"/>
                <w:sz w:val="24"/>
                <w:szCs w:val="24"/>
                <w:u w:val="single"/>
              </w:rPr>
              <w:t xml:space="preserve"> (IM)</w:t>
            </w:r>
            <w:r w:rsidR="003C4ED1">
              <w:rPr>
                <w:rFonts w:asciiTheme="minorHAnsi" w:hAnsiTheme="minorHAnsi" w:cstheme="minorHAnsi"/>
                <w:sz w:val="24"/>
                <w:szCs w:val="24"/>
              </w:rPr>
              <w:t>:</w:t>
            </w:r>
            <w:r w:rsidRPr="003C4ED1">
              <w:rPr>
                <w:rFonts w:asciiTheme="minorHAnsi" w:hAnsiTheme="minorHAnsi" w:cstheme="minorHAnsi"/>
                <w:sz w:val="24"/>
                <w:szCs w:val="24"/>
              </w:rPr>
              <w:t xml:space="preserve"> shall coordinate the PESTLE and SWOT assessments, consult the </w:t>
            </w:r>
            <w:r w:rsidR="00581EB0">
              <w:rPr>
                <w:rFonts w:asciiTheme="minorHAnsi" w:hAnsiTheme="minorHAnsi" w:cstheme="minorHAnsi"/>
                <w:sz w:val="24"/>
                <w:szCs w:val="24"/>
              </w:rPr>
              <w:t>SHO</w:t>
            </w:r>
            <w:r w:rsidRPr="003C4ED1">
              <w:rPr>
                <w:rFonts w:asciiTheme="minorHAnsi" w:hAnsiTheme="minorHAnsi" w:cstheme="minorHAnsi"/>
                <w:sz w:val="24"/>
                <w:szCs w:val="24"/>
              </w:rPr>
              <w:t xml:space="preserve">, project leaders, competent electrical persons, workers and relevant process owners and maintain this controlled record. </w:t>
            </w:r>
          </w:p>
          <w:p w14:paraId="5585F097" w14:textId="0067E85E" w:rsidR="003C4ED1" w:rsidRDefault="003C4ED1" w:rsidP="00643246">
            <w:pPr>
              <w:rPr>
                <w:rFonts w:asciiTheme="minorHAnsi" w:hAnsiTheme="minorHAnsi" w:cstheme="minorHAnsi"/>
                <w:sz w:val="24"/>
                <w:szCs w:val="24"/>
              </w:rPr>
            </w:pPr>
            <w:r>
              <w:rPr>
                <w:rFonts w:asciiTheme="minorHAnsi" w:hAnsiTheme="minorHAnsi" w:cstheme="minorHAnsi"/>
                <w:sz w:val="24"/>
                <w:szCs w:val="24"/>
                <w:u w:val="single"/>
              </w:rPr>
              <w:t xml:space="preserve">Head Of Department (HOD) </w:t>
            </w:r>
            <w:r w:rsidRPr="003C4ED1">
              <w:rPr>
                <w:rFonts w:asciiTheme="minorHAnsi" w:hAnsiTheme="minorHAnsi" w:cstheme="minorHAnsi"/>
                <w:sz w:val="24"/>
                <w:szCs w:val="24"/>
                <w:u w:val="single"/>
              </w:rPr>
              <w:t>and Project Manager</w:t>
            </w:r>
            <w:r>
              <w:rPr>
                <w:rFonts w:asciiTheme="minorHAnsi" w:hAnsiTheme="minorHAnsi" w:cstheme="minorHAnsi"/>
                <w:sz w:val="24"/>
                <w:szCs w:val="24"/>
                <w:u w:val="single"/>
              </w:rPr>
              <w:t xml:space="preserve"> (PM):</w:t>
            </w:r>
            <w:r w:rsidRPr="003C4ED1">
              <w:rPr>
                <w:rFonts w:asciiTheme="minorHAnsi" w:hAnsiTheme="minorHAnsi" w:cstheme="minorHAnsi"/>
                <w:sz w:val="24"/>
                <w:szCs w:val="24"/>
              </w:rPr>
              <w:t xml:space="preserve"> shall identify changes affecting their functions and projects, evaluate the associated occupational health and safety risks or opportunities and implement approved controls. </w:t>
            </w:r>
          </w:p>
          <w:p w14:paraId="0ACFD89E" w14:textId="77777777" w:rsidR="003C4ED1" w:rsidRDefault="003C4ED1" w:rsidP="00643246">
            <w:pPr>
              <w:rPr>
                <w:rFonts w:asciiTheme="minorHAnsi" w:hAnsiTheme="minorHAnsi" w:cstheme="minorHAnsi"/>
                <w:sz w:val="24"/>
                <w:szCs w:val="24"/>
              </w:rPr>
            </w:pPr>
            <w:r w:rsidRPr="003C4ED1">
              <w:rPr>
                <w:rFonts w:asciiTheme="minorHAnsi" w:hAnsiTheme="minorHAnsi" w:cstheme="minorHAnsi"/>
                <w:sz w:val="24"/>
                <w:szCs w:val="24"/>
                <w:u w:val="single"/>
              </w:rPr>
              <w:t>Safety &amp; Health Officer (SHO)</w:t>
            </w:r>
            <w:r>
              <w:rPr>
                <w:rFonts w:asciiTheme="minorHAnsi" w:hAnsiTheme="minorHAnsi" w:cstheme="minorHAnsi"/>
                <w:sz w:val="24"/>
                <w:szCs w:val="24"/>
              </w:rPr>
              <w:t>:</w:t>
            </w:r>
            <w:r w:rsidRPr="003C4ED1">
              <w:rPr>
                <w:rFonts w:asciiTheme="minorHAnsi" w:hAnsiTheme="minorHAnsi" w:cstheme="minorHAnsi"/>
                <w:sz w:val="24"/>
                <w:szCs w:val="24"/>
              </w:rPr>
              <w:t xml:space="preserve"> shall verify that significant issues are reflected in HIRARC, legal compliance, objectives, operational controls, emergency arrangements, audits and performance evaluation. </w:t>
            </w:r>
          </w:p>
          <w:p w14:paraId="3AC32DDF" w14:textId="62B5D0C8"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u w:val="single"/>
              </w:rPr>
              <w:t>Workers and their representatives</w:t>
            </w:r>
            <w:r w:rsidR="003C4ED1">
              <w:rPr>
                <w:rFonts w:asciiTheme="minorHAnsi" w:hAnsiTheme="minorHAnsi" w:cstheme="minorHAnsi"/>
                <w:sz w:val="24"/>
                <w:szCs w:val="24"/>
              </w:rPr>
              <w:t>:</w:t>
            </w:r>
            <w:r w:rsidRPr="003C4ED1">
              <w:rPr>
                <w:rFonts w:asciiTheme="minorHAnsi" w:hAnsiTheme="minorHAnsi" w:cstheme="minorHAnsi"/>
                <w:sz w:val="24"/>
                <w:szCs w:val="24"/>
              </w:rPr>
              <w:t xml:space="preserve"> shall be consulted on issues that affect their health, safety and working conditions.</w:t>
            </w:r>
          </w:p>
          <w:p w14:paraId="7BBCA5AA" w14:textId="77777777" w:rsidR="003C4ED1" w:rsidRPr="003C4ED1" w:rsidRDefault="003C4ED1" w:rsidP="00643246">
            <w:pPr>
              <w:rPr>
                <w:rFonts w:asciiTheme="minorHAnsi" w:hAnsiTheme="minorHAnsi" w:cstheme="minorHAnsi"/>
                <w:sz w:val="24"/>
                <w:szCs w:val="24"/>
              </w:rPr>
            </w:pPr>
          </w:p>
        </w:tc>
      </w:tr>
      <w:tr w:rsidR="001E1402" w:rsidRPr="003C4ED1" w14:paraId="145A33CA" w14:textId="77777777" w:rsidTr="00643246">
        <w:tc>
          <w:tcPr>
            <w:tcW w:w="1792" w:type="dxa"/>
          </w:tcPr>
          <w:p w14:paraId="345E2491" w14:textId="77777777" w:rsidR="001E1402" w:rsidRPr="003C4ED1" w:rsidRDefault="001E1402" w:rsidP="00643246">
            <w:pPr>
              <w:rPr>
                <w:rFonts w:asciiTheme="minorHAnsi" w:hAnsiTheme="minorHAnsi" w:cstheme="minorHAnsi"/>
                <w:sz w:val="24"/>
                <w:szCs w:val="24"/>
              </w:rPr>
            </w:pPr>
            <w:r w:rsidRPr="003C4ED1">
              <w:rPr>
                <w:rFonts w:asciiTheme="minorHAnsi" w:hAnsiTheme="minorHAnsi" w:cstheme="minorHAnsi"/>
                <w:sz w:val="24"/>
                <w:szCs w:val="24"/>
              </w:rPr>
              <w:t>ISO Reference:</w:t>
            </w:r>
          </w:p>
        </w:tc>
        <w:tc>
          <w:tcPr>
            <w:tcW w:w="7966" w:type="dxa"/>
          </w:tcPr>
          <w:p w14:paraId="765C6C5F"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MS ISO 45001:2018 Clause 4.1</w:t>
            </w:r>
          </w:p>
          <w:p w14:paraId="1AADB089" w14:textId="3197A227" w:rsidR="003C4ED1" w:rsidRPr="003C4ED1" w:rsidRDefault="003C4ED1" w:rsidP="00643246">
            <w:pPr>
              <w:rPr>
                <w:rFonts w:asciiTheme="minorHAnsi" w:hAnsiTheme="minorHAnsi" w:cstheme="minorHAnsi"/>
                <w:sz w:val="24"/>
                <w:szCs w:val="24"/>
              </w:rPr>
            </w:pPr>
          </w:p>
        </w:tc>
      </w:tr>
    </w:tbl>
    <w:p w14:paraId="638192D0" w14:textId="77777777" w:rsidR="001E1402" w:rsidRPr="003C4ED1" w:rsidRDefault="001E1402" w:rsidP="00643246">
      <w:pPr>
        <w:ind w:left="709" w:hanging="709"/>
        <w:rPr>
          <w:rFonts w:asciiTheme="minorHAnsi" w:hAnsiTheme="minorHAnsi" w:cstheme="minorHAnsi"/>
          <w:sz w:val="24"/>
          <w:szCs w:val="24"/>
        </w:rPr>
      </w:pPr>
    </w:p>
    <w:tbl>
      <w:tblPr>
        <w:tblStyle w:val="TableGrid"/>
        <w:tblW w:w="9810" w:type="dxa"/>
        <w:tblInd w:w="250" w:type="dxa"/>
        <w:tblLook w:val="04A0" w:firstRow="1" w:lastRow="0" w:firstColumn="1" w:lastColumn="0" w:noHBand="0" w:noVBand="1"/>
      </w:tblPr>
      <w:tblGrid>
        <w:gridCol w:w="1730"/>
        <w:gridCol w:w="2013"/>
        <w:gridCol w:w="1672"/>
        <w:gridCol w:w="4395"/>
      </w:tblGrid>
      <w:tr w:rsidR="001E1402" w:rsidRPr="003C4ED1" w14:paraId="3EA202F2" w14:textId="77777777" w:rsidTr="001E1402">
        <w:tc>
          <w:tcPr>
            <w:tcW w:w="9810" w:type="dxa"/>
            <w:gridSpan w:val="4"/>
            <w:shd w:val="clear" w:color="auto" w:fill="CCFFFF"/>
          </w:tcPr>
          <w:p w14:paraId="7CEA2BDF" w14:textId="77777777" w:rsidR="001E1402" w:rsidRPr="003C4ED1" w:rsidRDefault="001E1402" w:rsidP="00643246">
            <w:pPr>
              <w:rPr>
                <w:rFonts w:asciiTheme="minorHAnsi" w:hAnsiTheme="minorHAnsi" w:cstheme="minorHAnsi"/>
                <w:sz w:val="24"/>
                <w:szCs w:val="24"/>
              </w:rPr>
            </w:pPr>
            <w:r w:rsidRPr="003C4ED1">
              <w:rPr>
                <w:rFonts w:asciiTheme="minorHAnsi" w:hAnsiTheme="minorHAnsi" w:cstheme="minorHAnsi"/>
                <w:sz w:val="24"/>
                <w:szCs w:val="24"/>
              </w:rPr>
              <w:t>Revision History</w:t>
            </w:r>
          </w:p>
        </w:tc>
      </w:tr>
      <w:tr w:rsidR="001E1402" w:rsidRPr="003C4ED1" w14:paraId="5FC422BC" w14:textId="77777777" w:rsidTr="001E1402">
        <w:tc>
          <w:tcPr>
            <w:tcW w:w="1730" w:type="dxa"/>
            <w:shd w:val="clear" w:color="auto" w:fill="DBE5F1" w:themeFill="accent1" w:themeFillTint="33"/>
          </w:tcPr>
          <w:p w14:paraId="6857DE58" w14:textId="77777777" w:rsidR="001E1402" w:rsidRPr="003C4ED1" w:rsidRDefault="001E1402" w:rsidP="00643246">
            <w:pPr>
              <w:rPr>
                <w:rFonts w:asciiTheme="minorHAnsi" w:hAnsiTheme="minorHAnsi" w:cstheme="minorHAnsi"/>
                <w:sz w:val="24"/>
                <w:szCs w:val="24"/>
              </w:rPr>
            </w:pPr>
            <w:r w:rsidRPr="003C4ED1">
              <w:rPr>
                <w:rFonts w:asciiTheme="minorHAnsi" w:hAnsiTheme="minorHAnsi" w:cstheme="minorHAnsi"/>
                <w:sz w:val="24"/>
                <w:szCs w:val="24"/>
              </w:rPr>
              <w:t>Revision No.</w:t>
            </w:r>
          </w:p>
        </w:tc>
        <w:tc>
          <w:tcPr>
            <w:tcW w:w="2013" w:type="dxa"/>
            <w:shd w:val="clear" w:color="auto" w:fill="DBE5F1" w:themeFill="accent1" w:themeFillTint="33"/>
          </w:tcPr>
          <w:p w14:paraId="0DF9CD68" w14:textId="77777777" w:rsidR="001E1402" w:rsidRPr="003C4ED1" w:rsidRDefault="001E1402" w:rsidP="00643246">
            <w:pPr>
              <w:rPr>
                <w:rFonts w:asciiTheme="minorHAnsi" w:hAnsiTheme="minorHAnsi" w:cstheme="minorHAnsi"/>
                <w:sz w:val="24"/>
                <w:szCs w:val="24"/>
              </w:rPr>
            </w:pPr>
            <w:r w:rsidRPr="003C4ED1">
              <w:rPr>
                <w:rFonts w:asciiTheme="minorHAnsi" w:hAnsiTheme="minorHAnsi" w:cstheme="minorHAnsi"/>
                <w:sz w:val="24"/>
                <w:szCs w:val="24"/>
              </w:rPr>
              <w:t>Revision Date</w:t>
            </w:r>
          </w:p>
        </w:tc>
        <w:tc>
          <w:tcPr>
            <w:tcW w:w="1672" w:type="dxa"/>
            <w:shd w:val="clear" w:color="auto" w:fill="DBE5F1" w:themeFill="accent1" w:themeFillTint="33"/>
          </w:tcPr>
          <w:p w14:paraId="4349D6CA" w14:textId="77777777" w:rsidR="001E1402" w:rsidRPr="003C4ED1" w:rsidRDefault="001E1402" w:rsidP="00643246">
            <w:pPr>
              <w:rPr>
                <w:rFonts w:asciiTheme="minorHAnsi" w:hAnsiTheme="minorHAnsi" w:cstheme="minorHAnsi"/>
                <w:sz w:val="24"/>
                <w:szCs w:val="24"/>
              </w:rPr>
            </w:pPr>
            <w:r w:rsidRPr="003C4ED1">
              <w:rPr>
                <w:rFonts w:asciiTheme="minorHAnsi" w:hAnsiTheme="minorHAnsi" w:cstheme="minorHAnsi"/>
                <w:sz w:val="24"/>
                <w:szCs w:val="24"/>
              </w:rPr>
              <w:t>Originator</w:t>
            </w:r>
          </w:p>
        </w:tc>
        <w:tc>
          <w:tcPr>
            <w:tcW w:w="4395" w:type="dxa"/>
            <w:shd w:val="clear" w:color="auto" w:fill="DBE5F1" w:themeFill="accent1" w:themeFillTint="33"/>
          </w:tcPr>
          <w:p w14:paraId="02C1CC38" w14:textId="77777777" w:rsidR="001E1402" w:rsidRPr="003C4ED1" w:rsidRDefault="001E1402" w:rsidP="00643246">
            <w:pPr>
              <w:rPr>
                <w:rFonts w:asciiTheme="minorHAnsi" w:hAnsiTheme="minorHAnsi" w:cstheme="minorHAnsi"/>
                <w:sz w:val="24"/>
                <w:szCs w:val="24"/>
              </w:rPr>
            </w:pPr>
            <w:r w:rsidRPr="003C4ED1">
              <w:rPr>
                <w:rFonts w:asciiTheme="minorHAnsi" w:hAnsiTheme="minorHAnsi" w:cstheme="minorHAnsi"/>
                <w:sz w:val="24"/>
                <w:szCs w:val="24"/>
              </w:rPr>
              <w:t>Description of Changes</w:t>
            </w:r>
          </w:p>
        </w:tc>
      </w:tr>
      <w:tr w:rsidR="001E1402" w:rsidRPr="003C4ED1" w14:paraId="23AD364C" w14:textId="77777777" w:rsidTr="001E1402">
        <w:tc>
          <w:tcPr>
            <w:tcW w:w="1730" w:type="dxa"/>
          </w:tcPr>
          <w:p w14:paraId="02756E7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0</w:t>
            </w:r>
          </w:p>
        </w:tc>
        <w:tc>
          <w:tcPr>
            <w:tcW w:w="2013" w:type="dxa"/>
          </w:tcPr>
          <w:p w14:paraId="6E1B0EB0"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01 September 2026</w:t>
            </w:r>
          </w:p>
        </w:tc>
        <w:tc>
          <w:tcPr>
            <w:tcW w:w="1672" w:type="dxa"/>
          </w:tcPr>
          <w:p w14:paraId="1F0F58C6"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ISO Manager</w:t>
            </w:r>
          </w:p>
        </w:tc>
        <w:tc>
          <w:tcPr>
            <w:tcW w:w="4395" w:type="dxa"/>
          </w:tcPr>
          <w:p w14:paraId="2ACD5E73"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Initial issue for implementation of MS ISO 45001:2018 Clause 4.1 including Amendment 1:2024 climate action changes.</w:t>
            </w:r>
          </w:p>
        </w:tc>
      </w:tr>
      <w:tr w:rsidR="001E1402" w:rsidRPr="003C4ED1" w14:paraId="2B8B9FEC" w14:textId="77777777" w:rsidTr="001E1402">
        <w:tc>
          <w:tcPr>
            <w:tcW w:w="1730" w:type="dxa"/>
          </w:tcPr>
          <w:p w14:paraId="4708D741" w14:textId="77777777" w:rsidR="001E1402" w:rsidRPr="003C4ED1" w:rsidRDefault="001E1402" w:rsidP="00643246">
            <w:pPr>
              <w:rPr>
                <w:rFonts w:asciiTheme="minorHAnsi" w:hAnsiTheme="minorHAnsi" w:cstheme="minorHAnsi"/>
                <w:sz w:val="24"/>
                <w:szCs w:val="24"/>
              </w:rPr>
            </w:pPr>
          </w:p>
        </w:tc>
        <w:tc>
          <w:tcPr>
            <w:tcW w:w="2013" w:type="dxa"/>
          </w:tcPr>
          <w:p w14:paraId="3936A3B1" w14:textId="77777777" w:rsidR="001E1402" w:rsidRPr="003C4ED1" w:rsidRDefault="001E1402" w:rsidP="00643246">
            <w:pPr>
              <w:rPr>
                <w:rFonts w:asciiTheme="minorHAnsi" w:hAnsiTheme="minorHAnsi" w:cstheme="minorHAnsi"/>
                <w:sz w:val="24"/>
                <w:szCs w:val="24"/>
              </w:rPr>
            </w:pPr>
          </w:p>
        </w:tc>
        <w:tc>
          <w:tcPr>
            <w:tcW w:w="1672" w:type="dxa"/>
          </w:tcPr>
          <w:p w14:paraId="0032974B" w14:textId="77777777" w:rsidR="001E1402" w:rsidRPr="003C4ED1" w:rsidRDefault="001E1402" w:rsidP="00643246">
            <w:pPr>
              <w:rPr>
                <w:rFonts w:asciiTheme="minorHAnsi" w:hAnsiTheme="minorHAnsi" w:cstheme="minorHAnsi"/>
                <w:sz w:val="24"/>
                <w:szCs w:val="24"/>
              </w:rPr>
            </w:pPr>
          </w:p>
        </w:tc>
        <w:tc>
          <w:tcPr>
            <w:tcW w:w="4395" w:type="dxa"/>
          </w:tcPr>
          <w:p w14:paraId="2FE2D17E" w14:textId="77777777" w:rsidR="001E1402" w:rsidRPr="003C4ED1" w:rsidRDefault="001E1402" w:rsidP="00643246">
            <w:pPr>
              <w:rPr>
                <w:rFonts w:asciiTheme="minorHAnsi" w:hAnsiTheme="minorHAnsi" w:cstheme="minorHAnsi"/>
                <w:sz w:val="24"/>
                <w:szCs w:val="24"/>
              </w:rPr>
            </w:pPr>
          </w:p>
        </w:tc>
      </w:tr>
    </w:tbl>
    <w:p w14:paraId="2682FE19" w14:textId="77777777" w:rsidR="00F84608" w:rsidRPr="003C4ED1" w:rsidRDefault="00F84608" w:rsidP="00643246">
      <w:pPr>
        <w:pStyle w:val="BodyText"/>
        <w:rPr>
          <w:rFonts w:asciiTheme="minorHAnsi" w:hAnsiTheme="minorHAnsi" w:cstheme="minorHAnsi"/>
          <w:sz w:val="24"/>
          <w:szCs w:val="24"/>
        </w:rPr>
      </w:pPr>
    </w:p>
    <w:tbl>
      <w:tblPr>
        <w:tblStyle w:val="TableGrid"/>
        <w:tblW w:w="9781" w:type="dxa"/>
        <w:tblInd w:w="250" w:type="dxa"/>
        <w:tblLook w:val="04A0" w:firstRow="1" w:lastRow="0" w:firstColumn="1" w:lastColumn="0" w:noHBand="0" w:noVBand="1"/>
      </w:tblPr>
      <w:tblGrid>
        <w:gridCol w:w="2580"/>
        <w:gridCol w:w="7201"/>
      </w:tblGrid>
      <w:tr w:rsidR="00BA7E83" w:rsidRPr="003C4ED1" w14:paraId="57444227" w14:textId="77777777" w:rsidTr="00BA7E83">
        <w:tc>
          <w:tcPr>
            <w:tcW w:w="9781" w:type="dxa"/>
            <w:gridSpan w:val="2"/>
            <w:shd w:val="clear" w:color="auto" w:fill="C6F4F1"/>
          </w:tcPr>
          <w:p w14:paraId="0A5AC500"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Abbreviation &amp; Definition</w:t>
            </w:r>
          </w:p>
        </w:tc>
      </w:tr>
      <w:tr w:rsidR="00242322" w:rsidRPr="003C4ED1" w14:paraId="22522BD9" w14:textId="77777777" w:rsidTr="001C1659">
        <w:tc>
          <w:tcPr>
            <w:tcW w:w="2580" w:type="dxa"/>
          </w:tcPr>
          <w:p w14:paraId="70AAB200"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DOSH</w:t>
            </w:r>
          </w:p>
        </w:tc>
        <w:tc>
          <w:tcPr>
            <w:tcW w:w="7201" w:type="dxa"/>
          </w:tcPr>
          <w:p w14:paraId="5F7B900D"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Department of Occupational Safety and Health Malaysia.</w:t>
            </w:r>
          </w:p>
        </w:tc>
      </w:tr>
      <w:tr w:rsidR="00FD30EB" w:rsidRPr="003C4ED1" w14:paraId="139833C8" w14:textId="77777777" w:rsidTr="001B1941">
        <w:tc>
          <w:tcPr>
            <w:tcW w:w="2580" w:type="dxa"/>
          </w:tcPr>
          <w:p w14:paraId="4568F79A"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HIRARC</w:t>
            </w:r>
          </w:p>
        </w:tc>
        <w:tc>
          <w:tcPr>
            <w:tcW w:w="7201" w:type="dxa"/>
          </w:tcPr>
          <w:p w14:paraId="66EFABA1"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Hazard Identification, Risk Assessment and Risk Control.</w:t>
            </w:r>
          </w:p>
        </w:tc>
      </w:tr>
      <w:tr w:rsidR="00242322" w:rsidRPr="003C4ED1" w14:paraId="6865F1D1" w14:textId="77777777" w:rsidTr="001C1659">
        <w:tc>
          <w:tcPr>
            <w:tcW w:w="2580" w:type="dxa"/>
          </w:tcPr>
          <w:p w14:paraId="51072F89"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IM</w:t>
            </w:r>
          </w:p>
        </w:tc>
        <w:tc>
          <w:tcPr>
            <w:tcW w:w="7201" w:type="dxa"/>
          </w:tcPr>
          <w:p w14:paraId="1BB7773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ISO Manager.</w:t>
            </w:r>
          </w:p>
        </w:tc>
      </w:tr>
      <w:tr w:rsidR="00FD30EB" w:rsidRPr="003C4ED1" w14:paraId="7A82B7F8" w14:textId="77777777" w:rsidTr="001C1659">
        <w:tc>
          <w:tcPr>
            <w:tcW w:w="2580" w:type="dxa"/>
          </w:tcPr>
          <w:p w14:paraId="29FAC188"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M&amp;E</w:t>
            </w:r>
          </w:p>
        </w:tc>
        <w:tc>
          <w:tcPr>
            <w:tcW w:w="7201" w:type="dxa"/>
          </w:tcPr>
          <w:p w14:paraId="13DF59BF"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Mechanical and Electrical.</w:t>
            </w:r>
          </w:p>
        </w:tc>
      </w:tr>
      <w:tr w:rsidR="00CC5653" w:rsidRPr="003C4ED1" w14:paraId="4A206662" w14:textId="77777777">
        <w:tc>
          <w:tcPr>
            <w:tcW w:w="2580" w:type="dxa"/>
          </w:tcPr>
          <w:p w14:paraId="03D89F28"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OHSMS</w:t>
            </w:r>
          </w:p>
        </w:tc>
        <w:tc>
          <w:tcPr>
            <w:tcW w:w="7201" w:type="dxa"/>
          </w:tcPr>
          <w:p w14:paraId="285E70F6"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Occupational Health and Safety Management System.</w:t>
            </w:r>
          </w:p>
        </w:tc>
      </w:tr>
      <w:tr w:rsidR="00CC5653" w:rsidRPr="003C4ED1" w14:paraId="01D83569" w14:textId="77777777">
        <w:tc>
          <w:tcPr>
            <w:tcW w:w="2580" w:type="dxa"/>
          </w:tcPr>
          <w:p w14:paraId="58048F59"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PESTLE</w:t>
            </w:r>
          </w:p>
        </w:tc>
        <w:tc>
          <w:tcPr>
            <w:tcW w:w="7201" w:type="dxa"/>
          </w:tcPr>
          <w:p w14:paraId="41FC29B1"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Political, Economic, Social, Technological, Legal and Environmental analysis </w:t>
            </w:r>
            <w:proofErr w:type="gramStart"/>
            <w:r w:rsidRPr="003C4ED1">
              <w:rPr>
                <w:rFonts w:asciiTheme="minorHAnsi" w:hAnsiTheme="minorHAnsi" w:cstheme="minorHAnsi"/>
                <w:sz w:val="24"/>
                <w:szCs w:val="24"/>
              </w:rPr>
              <w:t>used</w:t>
            </w:r>
            <w:proofErr w:type="gramEnd"/>
            <w:r w:rsidRPr="003C4ED1">
              <w:rPr>
                <w:rFonts w:asciiTheme="minorHAnsi" w:hAnsiTheme="minorHAnsi" w:cstheme="minorHAnsi"/>
                <w:sz w:val="24"/>
                <w:szCs w:val="24"/>
              </w:rPr>
              <w:t xml:space="preserve"> to determine external issues.</w:t>
            </w:r>
          </w:p>
        </w:tc>
      </w:tr>
      <w:tr w:rsidR="00581EB0" w:rsidRPr="003C4ED1" w14:paraId="3AEF07EB" w14:textId="77777777">
        <w:tc>
          <w:tcPr>
            <w:tcW w:w="2580" w:type="dxa"/>
          </w:tcPr>
          <w:p w14:paraId="0157B267" w14:textId="7E53915E" w:rsidR="00581EB0" w:rsidRPr="003C4ED1" w:rsidRDefault="00581EB0" w:rsidP="00643246">
            <w:pPr>
              <w:rPr>
                <w:rFonts w:asciiTheme="minorHAnsi" w:hAnsiTheme="minorHAnsi" w:cstheme="minorHAnsi"/>
                <w:bCs/>
                <w:sz w:val="24"/>
                <w:szCs w:val="24"/>
              </w:rPr>
            </w:pPr>
            <w:r>
              <w:rPr>
                <w:rFonts w:asciiTheme="minorHAnsi" w:hAnsiTheme="minorHAnsi" w:cstheme="minorHAnsi"/>
                <w:bCs/>
                <w:sz w:val="24"/>
                <w:szCs w:val="24"/>
              </w:rPr>
              <w:lastRenderedPageBreak/>
              <w:t>PD</w:t>
            </w:r>
          </w:p>
        </w:tc>
        <w:tc>
          <w:tcPr>
            <w:tcW w:w="7201" w:type="dxa"/>
          </w:tcPr>
          <w:p w14:paraId="1C63C7A7" w14:textId="70239BF7" w:rsidR="00581EB0" w:rsidRPr="003C4ED1" w:rsidRDefault="00581EB0" w:rsidP="00643246">
            <w:pPr>
              <w:rPr>
                <w:rFonts w:asciiTheme="minorHAnsi" w:hAnsiTheme="minorHAnsi" w:cstheme="minorHAnsi"/>
                <w:sz w:val="24"/>
                <w:szCs w:val="24"/>
              </w:rPr>
            </w:pPr>
            <w:r>
              <w:rPr>
                <w:rFonts w:asciiTheme="minorHAnsi" w:hAnsiTheme="minorHAnsi" w:cstheme="minorHAnsi"/>
                <w:sz w:val="24"/>
                <w:szCs w:val="24"/>
              </w:rPr>
              <w:t>Project Director</w:t>
            </w:r>
          </w:p>
        </w:tc>
      </w:tr>
      <w:tr w:rsidR="00CC5653" w:rsidRPr="003C4ED1" w14:paraId="4D7D01BA" w14:textId="77777777">
        <w:tc>
          <w:tcPr>
            <w:tcW w:w="2580" w:type="dxa"/>
          </w:tcPr>
          <w:p w14:paraId="5E85A2E8"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PIC</w:t>
            </w:r>
          </w:p>
        </w:tc>
        <w:tc>
          <w:tcPr>
            <w:tcW w:w="7201" w:type="dxa"/>
          </w:tcPr>
          <w:p w14:paraId="47C78D1A" w14:textId="513627EB"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Person in Charge</w:t>
            </w:r>
          </w:p>
        </w:tc>
      </w:tr>
      <w:tr w:rsidR="00CC5653" w:rsidRPr="003C4ED1" w14:paraId="2B519693" w14:textId="77777777">
        <w:tc>
          <w:tcPr>
            <w:tcW w:w="2580" w:type="dxa"/>
          </w:tcPr>
          <w:p w14:paraId="4FB809E5"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SHO</w:t>
            </w:r>
          </w:p>
        </w:tc>
        <w:tc>
          <w:tcPr>
            <w:tcW w:w="7201" w:type="dxa"/>
          </w:tcPr>
          <w:p w14:paraId="62608169" w14:textId="7612FB0D"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Safety </w:t>
            </w:r>
            <w:r w:rsidR="003C4ED1">
              <w:rPr>
                <w:rFonts w:asciiTheme="minorHAnsi" w:hAnsiTheme="minorHAnsi" w:cstheme="minorHAnsi"/>
                <w:sz w:val="24"/>
                <w:szCs w:val="24"/>
              </w:rPr>
              <w:t xml:space="preserve">&amp; </w:t>
            </w:r>
            <w:r w:rsidRPr="003C4ED1">
              <w:rPr>
                <w:rFonts w:asciiTheme="minorHAnsi" w:hAnsiTheme="minorHAnsi" w:cstheme="minorHAnsi"/>
                <w:sz w:val="24"/>
                <w:szCs w:val="24"/>
              </w:rPr>
              <w:t>Health Officer</w:t>
            </w:r>
          </w:p>
        </w:tc>
      </w:tr>
      <w:tr w:rsidR="00CC5653" w:rsidRPr="003C4ED1" w14:paraId="04E62AD7" w14:textId="77777777">
        <w:tc>
          <w:tcPr>
            <w:tcW w:w="2580" w:type="dxa"/>
          </w:tcPr>
          <w:p w14:paraId="740A61C9"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SWOT</w:t>
            </w:r>
          </w:p>
        </w:tc>
        <w:tc>
          <w:tcPr>
            <w:tcW w:w="7201" w:type="dxa"/>
          </w:tcPr>
          <w:p w14:paraId="4D565ACC" w14:textId="63D82511"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Strengths, Weaknesses, Opportunities and Threats analysis used to determine internal issues</w:t>
            </w:r>
          </w:p>
        </w:tc>
      </w:tr>
      <w:tr w:rsidR="00CC5653" w:rsidRPr="003C4ED1" w14:paraId="00A08C3A" w14:textId="77777777">
        <w:tc>
          <w:tcPr>
            <w:tcW w:w="2580" w:type="dxa"/>
          </w:tcPr>
          <w:p w14:paraId="0D062EB5" w14:textId="77777777" w:rsidR="00CC5653" w:rsidRPr="003C4ED1" w:rsidRDefault="00000000" w:rsidP="00643246">
            <w:pPr>
              <w:rPr>
                <w:rFonts w:asciiTheme="minorHAnsi" w:hAnsiTheme="minorHAnsi" w:cstheme="minorHAnsi"/>
                <w:bCs/>
                <w:sz w:val="24"/>
                <w:szCs w:val="24"/>
              </w:rPr>
            </w:pPr>
            <w:r w:rsidRPr="003C4ED1">
              <w:rPr>
                <w:rFonts w:asciiTheme="minorHAnsi" w:hAnsiTheme="minorHAnsi" w:cstheme="minorHAnsi"/>
                <w:bCs/>
                <w:sz w:val="24"/>
                <w:szCs w:val="24"/>
              </w:rPr>
              <w:t>ST</w:t>
            </w:r>
          </w:p>
        </w:tc>
        <w:tc>
          <w:tcPr>
            <w:tcW w:w="7201" w:type="dxa"/>
          </w:tcPr>
          <w:p w14:paraId="413A9CDC" w14:textId="21235748"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Suruhanjaya Tenaga or Energy Commission Malaysia</w:t>
            </w:r>
          </w:p>
        </w:tc>
      </w:tr>
    </w:tbl>
    <w:p w14:paraId="2A303A8E" w14:textId="77777777" w:rsidR="00F84608" w:rsidRPr="003C4ED1" w:rsidRDefault="00F84608" w:rsidP="00643246">
      <w:pPr>
        <w:pStyle w:val="BodyText"/>
        <w:rPr>
          <w:rFonts w:asciiTheme="minorHAnsi" w:hAnsiTheme="minorHAnsi" w:cstheme="minorHAnsi"/>
          <w:sz w:val="24"/>
          <w:szCs w:val="24"/>
          <w:lang w:val="en-MY"/>
        </w:rPr>
      </w:pPr>
    </w:p>
    <w:tbl>
      <w:tblPr>
        <w:tblStyle w:val="TableGrid"/>
        <w:tblW w:w="0" w:type="auto"/>
        <w:tblInd w:w="284" w:type="dxa"/>
        <w:tblLook w:val="04A0" w:firstRow="1" w:lastRow="0" w:firstColumn="1" w:lastColumn="0" w:noHBand="0" w:noVBand="1"/>
      </w:tblPr>
      <w:tblGrid>
        <w:gridCol w:w="704"/>
        <w:gridCol w:w="5953"/>
        <w:gridCol w:w="1134"/>
        <w:gridCol w:w="1935"/>
      </w:tblGrid>
      <w:tr w:rsidR="00543B6A" w:rsidRPr="003C4ED1" w14:paraId="60E3B539" w14:textId="77777777" w:rsidTr="00112287">
        <w:tc>
          <w:tcPr>
            <w:tcW w:w="704" w:type="dxa"/>
            <w:shd w:val="clear" w:color="auto" w:fill="CCFFFF"/>
          </w:tcPr>
          <w:p w14:paraId="174316E2" w14:textId="77777777" w:rsidR="00543B6A" w:rsidRPr="003C4ED1" w:rsidRDefault="00543B6A" w:rsidP="00643246">
            <w:pPr>
              <w:jc w:val="center"/>
              <w:rPr>
                <w:rFonts w:asciiTheme="minorHAnsi" w:hAnsiTheme="minorHAnsi" w:cstheme="minorHAnsi"/>
                <w:sz w:val="24"/>
                <w:szCs w:val="24"/>
              </w:rPr>
            </w:pPr>
            <w:r w:rsidRPr="003C4ED1">
              <w:rPr>
                <w:rFonts w:asciiTheme="minorHAnsi" w:hAnsiTheme="minorHAnsi" w:cstheme="minorHAnsi"/>
                <w:sz w:val="24"/>
                <w:szCs w:val="24"/>
              </w:rPr>
              <w:t>Step</w:t>
            </w:r>
          </w:p>
        </w:tc>
        <w:tc>
          <w:tcPr>
            <w:tcW w:w="5953" w:type="dxa"/>
            <w:shd w:val="clear" w:color="auto" w:fill="CCFFFF"/>
          </w:tcPr>
          <w:p w14:paraId="03D18B0C" w14:textId="77777777" w:rsidR="00543B6A" w:rsidRPr="003C4ED1" w:rsidRDefault="00543B6A" w:rsidP="00643246">
            <w:pPr>
              <w:jc w:val="center"/>
              <w:rPr>
                <w:rFonts w:asciiTheme="minorHAnsi" w:hAnsiTheme="minorHAnsi" w:cstheme="minorHAnsi"/>
                <w:sz w:val="24"/>
                <w:szCs w:val="24"/>
              </w:rPr>
            </w:pPr>
            <w:r w:rsidRPr="003C4ED1">
              <w:rPr>
                <w:rFonts w:asciiTheme="minorHAnsi" w:hAnsiTheme="minorHAnsi" w:cstheme="minorHAnsi"/>
                <w:sz w:val="24"/>
                <w:szCs w:val="24"/>
              </w:rPr>
              <w:t>Activity</w:t>
            </w:r>
          </w:p>
        </w:tc>
        <w:tc>
          <w:tcPr>
            <w:tcW w:w="1134" w:type="dxa"/>
            <w:shd w:val="clear" w:color="auto" w:fill="CCFFFF"/>
          </w:tcPr>
          <w:p w14:paraId="18D00A44" w14:textId="77777777" w:rsidR="00543B6A" w:rsidRPr="003C4ED1" w:rsidRDefault="00AF36EB" w:rsidP="00643246">
            <w:pPr>
              <w:jc w:val="center"/>
              <w:rPr>
                <w:rFonts w:asciiTheme="minorHAnsi" w:hAnsiTheme="minorHAnsi" w:cstheme="minorHAnsi"/>
                <w:sz w:val="24"/>
                <w:szCs w:val="24"/>
              </w:rPr>
            </w:pPr>
            <w:r w:rsidRPr="003C4ED1">
              <w:rPr>
                <w:rFonts w:asciiTheme="minorHAnsi" w:hAnsiTheme="minorHAnsi" w:cstheme="minorHAnsi"/>
                <w:sz w:val="24"/>
                <w:szCs w:val="24"/>
              </w:rPr>
              <w:t>PIC</w:t>
            </w:r>
          </w:p>
        </w:tc>
        <w:tc>
          <w:tcPr>
            <w:tcW w:w="1935" w:type="dxa"/>
            <w:shd w:val="clear" w:color="auto" w:fill="CCFFFF"/>
          </w:tcPr>
          <w:p w14:paraId="002685B2" w14:textId="77777777" w:rsidR="00543B6A" w:rsidRPr="003C4ED1" w:rsidRDefault="00AF36EB" w:rsidP="00643246">
            <w:pPr>
              <w:jc w:val="center"/>
              <w:rPr>
                <w:rFonts w:asciiTheme="minorHAnsi" w:hAnsiTheme="minorHAnsi" w:cstheme="minorHAnsi"/>
                <w:sz w:val="24"/>
                <w:szCs w:val="24"/>
              </w:rPr>
            </w:pPr>
            <w:r w:rsidRPr="003C4ED1">
              <w:rPr>
                <w:rFonts w:asciiTheme="minorHAnsi" w:hAnsiTheme="minorHAnsi" w:cstheme="minorHAnsi"/>
                <w:sz w:val="24"/>
                <w:szCs w:val="24"/>
              </w:rPr>
              <w:t xml:space="preserve">Cross </w:t>
            </w:r>
            <w:r w:rsidR="00543B6A" w:rsidRPr="003C4ED1">
              <w:rPr>
                <w:rFonts w:asciiTheme="minorHAnsi" w:hAnsiTheme="minorHAnsi" w:cstheme="minorHAnsi"/>
                <w:sz w:val="24"/>
                <w:szCs w:val="24"/>
              </w:rPr>
              <w:t>Reference</w:t>
            </w:r>
          </w:p>
        </w:tc>
      </w:tr>
      <w:tr w:rsidR="00726D14" w:rsidRPr="003C4ED1" w14:paraId="02EC9859" w14:textId="77777777" w:rsidTr="00112287">
        <w:tc>
          <w:tcPr>
            <w:tcW w:w="704" w:type="dxa"/>
          </w:tcPr>
          <w:p w14:paraId="1AAC2CB5" w14:textId="77777777" w:rsidR="00726D14" w:rsidRPr="003C4ED1" w:rsidRDefault="00726D14" w:rsidP="00A23AB5">
            <w:pPr>
              <w:jc w:val="center"/>
              <w:rPr>
                <w:rFonts w:asciiTheme="minorHAnsi" w:hAnsiTheme="minorHAnsi" w:cstheme="minorHAnsi"/>
                <w:sz w:val="24"/>
                <w:szCs w:val="24"/>
              </w:rPr>
            </w:pPr>
            <w:r w:rsidRPr="003C4ED1">
              <w:rPr>
                <w:rFonts w:asciiTheme="minorHAnsi" w:hAnsiTheme="minorHAnsi" w:cstheme="minorHAnsi"/>
                <w:sz w:val="24"/>
                <w:szCs w:val="24"/>
              </w:rPr>
              <w:t>1</w:t>
            </w:r>
          </w:p>
        </w:tc>
        <w:tc>
          <w:tcPr>
            <w:tcW w:w="5953" w:type="dxa"/>
          </w:tcPr>
          <w:p w14:paraId="5A3BCF87" w14:textId="77777777" w:rsidR="00CC5653" w:rsidRPr="00643246" w:rsidRDefault="00000000" w:rsidP="00643246">
            <w:pPr>
              <w:rPr>
                <w:rFonts w:asciiTheme="minorHAnsi" w:hAnsiTheme="minorHAnsi" w:cstheme="minorHAnsi"/>
                <w:sz w:val="24"/>
                <w:szCs w:val="24"/>
                <w:u w:val="single"/>
              </w:rPr>
            </w:pPr>
            <w:r w:rsidRPr="00643246">
              <w:rPr>
                <w:rFonts w:asciiTheme="minorHAnsi" w:hAnsiTheme="minorHAnsi" w:cstheme="minorHAnsi"/>
                <w:b/>
                <w:sz w:val="24"/>
                <w:szCs w:val="24"/>
                <w:u w:val="single"/>
              </w:rPr>
              <w:t>External Issues - PESTLE Methodology</w:t>
            </w:r>
          </w:p>
          <w:p w14:paraId="66795039" w14:textId="77777777" w:rsidR="00643246"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The Company shall use PESTLE analysis to determine external conditions that may affect the OHSMS and its ability to prevent injury and ill health. </w:t>
            </w:r>
          </w:p>
          <w:p w14:paraId="56145940" w14:textId="77777777" w:rsidR="00643246"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Political considerations include national policy, government priorities, geopolitical instability, public infrastructure programmes and </w:t>
            </w:r>
            <w:proofErr w:type="gramStart"/>
            <w:r w:rsidRPr="003C4ED1">
              <w:rPr>
                <w:rFonts w:asciiTheme="minorHAnsi" w:hAnsiTheme="minorHAnsi" w:cstheme="minorHAnsi"/>
                <w:sz w:val="24"/>
                <w:szCs w:val="24"/>
              </w:rPr>
              <w:t>overseas country</w:t>
            </w:r>
            <w:proofErr w:type="gramEnd"/>
            <w:r w:rsidRPr="003C4ED1">
              <w:rPr>
                <w:rFonts w:asciiTheme="minorHAnsi" w:hAnsiTheme="minorHAnsi" w:cstheme="minorHAnsi"/>
                <w:sz w:val="24"/>
                <w:szCs w:val="24"/>
              </w:rPr>
              <w:t xml:space="preserve"> conditions. </w:t>
            </w:r>
          </w:p>
          <w:p w14:paraId="7FDC113D" w14:textId="77777777" w:rsidR="00643246" w:rsidRPr="00581EB0" w:rsidRDefault="00643246" w:rsidP="00643246">
            <w:pPr>
              <w:rPr>
                <w:rFonts w:asciiTheme="minorHAnsi" w:hAnsiTheme="minorHAnsi" w:cstheme="minorHAnsi"/>
              </w:rPr>
            </w:pPr>
          </w:p>
          <w:p w14:paraId="4D6C46D5" w14:textId="77777777" w:rsidR="00643246"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Economic considerations include inflation, foreign exchange movements, labour availability, financing conditions, supply chain capacity and commercial pressure that may influence resources or safe work planning. </w:t>
            </w:r>
          </w:p>
          <w:p w14:paraId="4907952F" w14:textId="77777777" w:rsidR="00643246" w:rsidRPr="00581EB0" w:rsidRDefault="00643246" w:rsidP="00643246">
            <w:pPr>
              <w:rPr>
                <w:rFonts w:asciiTheme="minorHAnsi" w:hAnsiTheme="minorHAnsi" w:cstheme="minorHAnsi"/>
              </w:rPr>
            </w:pPr>
          </w:p>
          <w:p w14:paraId="13E8B5C7" w14:textId="77777777" w:rsidR="00643246"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Social considerations include workforce demographics, language, culture, public expectations, community interfaces and worker wellbeing. </w:t>
            </w:r>
          </w:p>
          <w:p w14:paraId="00E04C0E" w14:textId="77777777" w:rsidR="00643246" w:rsidRPr="00581EB0" w:rsidRDefault="00643246" w:rsidP="00643246">
            <w:pPr>
              <w:rPr>
                <w:rFonts w:asciiTheme="minorHAnsi" w:hAnsiTheme="minorHAnsi" w:cstheme="minorHAnsi"/>
              </w:rPr>
            </w:pPr>
          </w:p>
          <w:p w14:paraId="4389870D" w14:textId="77777777" w:rsidR="00643246"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Technological considerations include high-voltage technology, automation, digital engineering, clean manufacturing, data-centre systems, cyber-physical interfaces and changing competence needs. </w:t>
            </w:r>
          </w:p>
          <w:p w14:paraId="1BFFA523" w14:textId="77777777" w:rsidR="00643246" w:rsidRPr="00581EB0" w:rsidRDefault="00643246" w:rsidP="00643246">
            <w:pPr>
              <w:rPr>
                <w:rFonts w:asciiTheme="minorHAnsi" w:hAnsiTheme="minorHAnsi" w:cstheme="minorHAnsi"/>
              </w:rPr>
            </w:pPr>
          </w:p>
          <w:p w14:paraId="6785229B" w14:textId="77777777" w:rsidR="00643246"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Legal considerations include amendments to occupational safety and health, electricity, construction, fire, environmental, employment and local authority requirements. </w:t>
            </w:r>
          </w:p>
          <w:p w14:paraId="71057E54" w14:textId="77777777" w:rsidR="00643246" w:rsidRPr="00581EB0" w:rsidRDefault="00643246" w:rsidP="00643246">
            <w:pPr>
              <w:rPr>
                <w:rFonts w:asciiTheme="minorHAnsi" w:hAnsiTheme="minorHAnsi" w:cstheme="minorHAnsi"/>
              </w:rPr>
            </w:pPr>
          </w:p>
          <w:p w14:paraId="2A7C83BB" w14:textId="0E0EC415"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Environmental considerations include climate change, extreme weather, heat stress, flooding, lightning, air quality, biodiversity constraints and the physical conditions of project locations.</w:t>
            </w:r>
          </w:p>
          <w:p w14:paraId="43955B97" w14:textId="77777777" w:rsidR="003C4ED1" w:rsidRPr="00581EB0" w:rsidRDefault="003C4ED1" w:rsidP="00643246">
            <w:pPr>
              <w:rPr>
                <w:rFonts w:asciiTheme="minorHAnsi" w:hAnsiTheme="minorHAnsi" w:cstheme="minorHAnsi"/>
              </w:rPr>
            </w:pPr>
          </w:p>
        </w:tc>
        <w:tc>
          <w:tcPr>
            <w:tcW w:w="1134" w:type="dxa"/>
          </w:tcPr>
          <w:p w14:paraId="53E778C3"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sz w:val="24"/>
                <w:szCs w:val="24"/>
              </w:rPr>
              <w:t>IM</w:t>
            </w:r>
          </w:p>
        </w:tc>
        <w:tc>
          <w:tcPr>
            <w:tcW w:w="1935" w:type="dxa"/>
          </w:tcPr>
          <w:p w14:paraId="7210A090"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OHSMS-04B</w:t>
            </w:r>
            <w:r w:rsidRPr="003C4ED1">
              <w:rPr>
                <w:rFonts w:asciiTheme="minorHAnsi" w:hAnsiTheme="minorHAnsi" w:cstheme="minorHAnsi"/>
                <w:sz w:val="24"/>
                <w:szCs w:val="24"/>
              </w:rPr>
              <w:br/>
              <w:t>OHSMS-06J</w:t>
            </w:r>
            <w:r w:rsidRPr="003C4ED1">
              <w:rPr>
                <w:rFonts w:asciiTheme="minorHAnsi" w:hAnsiTheme="minorHAnsi" w:cstheme="minorHAnsi"/>
                <w:sz w:val="24"/>
                <w:szCs w:val="24"/>
              </w:rPr>
              <w:br/>
              <w:t>OHSMS-06K</w:t>
            </w:r>
          </w:p>
        </w:tc>
      </w:tr>
      <w:tr w:rsidR="00287E96" w:rsidRPr="003C4ED1" w14:paraId="1CED2E8E" w14:textId="77777777" w:rsidTr="00112287">
        <w:tc>
          <w:tcPr>
            <w:tcW w:w="704" w:type="dxa"/>
          </w:tcPr>
          <w:p w14:paraId="43E18467" w14:textId="1D1145F9" w:rsidR="00287E96" w:rsidRPr="003C4ED1" w:rsidRDefault="00A23AB5" w:rsidP="00A23AB5">
            <w:pPr>
              <w:jc w:val="center"/>
              <w:rPr>
                <w:rFonts w:asciiTheme="minorHAnsi" w:hAnsiTheme="minorHAnsi" w:cstheme="minorHAnsi"/>
                <w:sz w:val="24"/>
                <w:szCs w:val="24"/>
              </w:rPr>
            </w:pPr>
            <w:r>
              <w:rPr>
                <w:rFonts w:asciiTheme="minorHAnsi" w:hAnsiTheme="minorHAnsi" w:cstheme="minorHAnsi"/>
                <w:sz w:val="24"/>
                <w:szCs w:val="24"/>
              </w:rPr>
              <w:t>2</w:t>
            </w:r>
          </w:p>
        </w:tc>
        <w:tc>
          <w:tcPr>
            <w:tcW w:w="5953" w:type="dxa"/>
          </w:tcPr>
          <w:p w14:paraId="18D135B4" w14:textId="59B3B61A" w:rsidR="00EE733B" w:rsidRDefault="00EE733B" w:rsidP="00EE733B">
            <w:pPr>
              <w:rPr>
                <w:rFonts w:asciiTheme="minorHAnsi" w:hAnsiTheme="minorHAnsi" w:cstheme="minorHAnsi"/>
                <w:sz w:val="24"/>
                <w:szCs w:val="24"/>
              </w:rPr>
            </w:pPr>
            <w:r w:rsidRPr="003C4ED1">
              <w:rPr>
                <w:rFonts w:asciiTheme="minorHAnsi" w:hAnsiTheme="minorHAnsi" w:cstheme="minorHAnsi"/>
                <w:sz w:val="24"/>
                <w:szCs w:val="24"/>
              </w:rPr>
              <w:t>ISO Manager</w:t>
            </w:r>
            <w:r>
              <w:rPr>
                <w:rFonts w:asciiTheme="minorHAnsi" w:hAnsiTheme="minorHAnsi" w:cstheme="minorHAnsi"/>
                <w:sz w:val="24"/>
                <w:szCs w:val="24"/>
              </w:rPr>
              <w:t xml:space="preserve"> (IM)</w:t>
            </w:r>
            <w:r w:rsidRPr="003C4ED1">
              <w:rPr>
                <w:rFonts w:asciiTheme="minorHAnsi" w:hAnsiTheme="minorHAnsi" w:cstheme="minorHAnsi"/>
                <w:sz w:val="24"/>
                <w:szCs w:val="24"/>
              </w:rPr>
              <w:t xml:space="preserve"> shall coordinate a formal review at least annually and when a significant change occurs. Triggers include new legislation, entry into a new country or sector, acquisition or restructuring, a major incident, new technology, severe weather, material supply disruption, significant client requirements or changes in business strategy. </w:t>
            </w:r>
          </w:p>
          <w:p w14:paraId="156B9876" w14:textId="77777777" w:rsidR="00287E96" w:rsidRDefault="00287E96" w:rsidP="00643246">
            <w:pPr>
              <w:rPr>
                <w:rFonts w:asciiTheme="minorHAnsi" w:hAnsiTheme="minorHAnsi" w:cstheme="minorHAnsi"/>
                <w:b/>
                <w:u w:val="single"/>
              </w:rPr>
            </w:pPr>
          </w:p>
          <w:p w14:paraId="2427C830" w14:textId="77777777" w:rsidR="00112287" w:rsidRDefault="00112287" w:rsidP="00643246">
            <w:pPr>
              <w:rPr>
                <w:rFonts w:asciiTheme="minorHAnsi" w:hAnsiTheme="minorHAnsi" w:cstheme="minorHAnsi"/>
                <w:b/>
                <w:u w:val="single"/>
              </w:rPr>
            </w:pPr>
          </w:p>
          <w:p w14:paraId="644A4372" w14:textId="77777777" w:rsidR="00112287" w:rsidRDefault="00112287" w:rsidP="00643246">
            <w:pPr>
              <w:rPr>
                <w:rFonts w:asciiTheme="minorHAnsi" w:hAnsiTheme="minorHAnsi" w:cstheme="minorHAnsi"/>
                <w:b/>
                <w:u w:val="single"/>
              </w:rPr>
            </w:pPr>
          </w:p>
          <w:p w14:paraId="3DA13790" w14:textId="2D05FC7B" w:rsidR="00112287" w:rsidRPr="00581EB0" w:rsidRDefault="00112287" w:rsidP="00643246">
            <w:pPr>
              <w:rPr>
                <w:rFonts w:asciiTheme="minorHAnsi" w:hAnsiTheme="minorHAnsi" w:cstheme="minorHAnsi"/>
                <w:b/>
                <w:u w:val="single"/>
              </w:rPr>
            </w:pPr>
          </w:p>
        </w:tc>
        <w:tc>
          <w:tcPr>
            <w:tcW w:w="1134" w:type="dxa"/>
          </w:tcPr>
          <w:p w14:paraId="6CDD687A" w14:textId="22CFF36D" w:rsidR="00287E96" w:rsidRPr="003C4ED1" w:rsidRDefault="00EE733B" w:rsidP="00643246">
            <w:pPr>
              <w:jc w:val="center"/>
              <w:rPr>
                <w:rFonts w:asciiTheme="minorHAnsi" w:hAnsiTheme="minorHAnsi" w:cstheme="minorHAnsi"/>
                <w:sz w:val="24"/>
                <w:szCs w:val="24"/>
              </w:rPr>
            </w:pPr>
            <w:r w:rsidRPr="003C4ED1">
              <w:rPr>
                <w:rFonts w:asciiTheme="minorHAnsi" w:hAnsiTheme="minorHAnsi" w:cstheme="minorHAnsi"/>
                <w:sz w:val="24"/>
                <w:szCs w:val="24"/>
              </w:rPr>
              <w:t xml:space="preserve">IM / </w:t>
            </w:r>
            <w:r w:rsidR="00581EB0">
              <w:rPr>
                <w:rFonts w:asciiTheme="minorHAnsi" w:hAnsiTheme="minorHAnsi" w:cstheme="minorHAnsi"/>
                <w:sz w:val="24"/>
                <w:szCs w:val="24"/>
              </w:rPr>
              <w:t>SHO</w:t>
            </w:r>
            <w:r w:rsidRPr="003C4ED1">
              <w:rPr>
                <w:rFonts w:asciiTheme="minorHAnsi" w:hAnsiTheme="minorHAnsi" w:cstheme="minorHAnsi"/>
                <w:sz w:val="24"/>
                <w:szCs w:val="24"/>
              </w:rPr>
              <w:t xml:space="preserve"> / </w:t>
            </w:r>
            <w:r w:rsidR="00581EB0">
              <w:rPr>
                <w:rFonts w:asciiTheme="minorHAnsi" w:hAnsiTheme="minorHAnsi" w:cstheme="minorHAnsi"/>
                <w:sz w:val="24"/>
                <w:szCs w:val="24"/>
              </w:rPr>
              <w:t>HOD</w:t>
            </w:r>
          </w:p>
        </w:tc>
        <w:tc>
          <w:tcPr>
            <w:tcW w:w="1935" w:type="dxa"/>
          </w:tcPr>
          <w:p w14:paraId="04FDF002" w14:textId="011CEB70" w:rsidR="00287E96" w:rsidRPr="003C4ED1" w:rsidRDefault="00EE733B" w:rsidP="00643246">
            <w:pPr>
              <w:rPr>
                <w:rFonts w:asciiTheme="minorHAnsi" w:hAnsiTheme="minorHAnsi" w:cstheme="minorHAnsi"/>
                <w:sz w:val="24"/>
                <w:szCs w:val="24"/>
              </w:rPr>
            </w:pPr>
            <w:r w:rsidRPr="003C4ED1">
              <w:rPr>
                <w:rFonts w:asciiTheme="minorHAnsi" w:hAnsiTheme="minorHAnsi" w:cstheme="minorHAnsi"/>
                <w:sz w:val="24"/>
                <w:szCs w:val="24"/>
              </w:rPr>
              <w:t>OHSMS-04D</w:t>
            </w:r>
            <w:r w:rsidRPr="003C4ED1">
              <w:rPr>
                <w:rFonts w:asciiTheme="minorHAnsi" w:hAnsiTheme="minorHAnsi" w:cstheme="minorHAnsi"/>
                <w:sz w:val="24"/>
                <w:szCs w:val="24"/>
              </w:rPr>
              <w:br/>
              <w:t>OHSMS-06J</w:t>
            </w:r>
            <w:r w:rsidRPr="003C4ED1">
              <w:rPr>
                <w:rFonts w:asciiTheme="minorHAnsi" w:hAnsiTheme="minorHAnsi" w:cstheme="minorHAnsi"/>
                <w:sz w:val="24"/>
                <w:szCs w:val="24"/>
              </w:rPr>
              <w:br/>
              <w:t>OHSMS-09U</w:t>
            </w:r>
          </w:p>
        </w:tc>
      </w:tr>
      <w:tr w:rsidR="00726D14" w:rsidRPr="003C4ED1" w14:paraId="0BA79231" w14:textId="77777777" w:rsidTr="00112287">
        <w:tc>
          <w:tcPr>
            <w:tcW w:w="704" w:type="dxa"/>
            <w:tcBorders>
              <w:bottom w:val="single" w:sz="4" w:space="0" w:color="auto"/>
            </w:tcBorders>
            <w:shd w:val="clear" w:color="auto" w:fill="CCFFFF"/>
          </w:tcPr>
          <w:p w14:paraId="499D2E53" w14:textId="77777777" w:rsidR="00726D14" w:rsidRPr="003C4ED1" w:rsidRDefault="00726D14" w:rsidP="00643246">
            <w:pPr>
              <w:jc w:val="center"/>
              <w:rPr>
                <w:rFonts w:asciiTheme="minorHAnsi" w:hAnsiTheme="minorHAnsi" w:cstheme="minorHAnsi"/>
                <w:sz w:val="24"/>
                <w:szCs w:val="24"/>
              </w:rPr>
            </w:pPr>
            <w:r w:rsidRPr="003C4ED1">
              <w:rPr>
                <w:rFonts w:asciiTheme="minorHAnsi" w:hAnsiTheme="minorHAnsi" w:cstheme="minorHAnsi"/>
                <w:sz w:val="24"/>
                <w:szCs w:val="24"/>
              </w:rPr>
              <w:lastRenderedPageBreak/>
              <w:t>Step</w:t>
            </w:r>
          </w:p>
        </w:tc>
        <w:tc>
          <w:tcPr>
            <w:tcW w:w="5953" w:type="dxa"/>
            <w:tcBorders>
              <w:bottom w:val="single" w:sz="4" w:space="0" w:color="auto"/>
            </w:tcBorders>
            <w:shd w:val="clear" w:color="auto" w:fill="CCFFFF"/>
          </w:tcPr>
          <w:p w14:paraId="2E071580" w14:textId="77777777" w:rsidR="00726D14" w:rsidRPr="003C4ED1" w:rsidRDefault="00726D14" w:rsidP="00643246">
            <w:pPr>
              <w:jc w:val="center"/>
              <w:rPr>
                <w:rFonts w:asciiTheme="minorHAnsi" w:hAnsiTheme="minorHAnsi" w:cstheme="minorHAnsi"/>
                <w:b/>
                <w:bCs/>
                <w:sz w:val="24"/>
                <w:szCs w:val="24"/>
                <w:u w:val="single"/>
                <w:lang w:val="en-MY"/>
              </w:rPr>
            </w:pPr>
            <w:r w:rsidRPr="003C4ED1">
              <w:rPr>
                <w:rFonts w:asciiTheme="minorHAnsi" w:hAnsiTheme="minorHAnsi" w:cstheme="minorHAnsi"/>
                <w:sz w:val="24"/>
                <w:szCs w:val="24"/>
              </w:rPr>
              <w:t>Activity</w:t>
            </w:r>
          </w:p>
        </w:tc>
        <w:tc>
          <w:tcPr>
            <w:tcW w:w="1134" w:type="dxa"/>
            <w:tcBorders>
              <w:bottom w:val="single" w:sz="4" w:space="0" w:color="auto"/>
            </w:tcBorders>
            <w:shd w:val="clear" w:color="auto" w:fill="CCFFFF"/>
          </w:tcPr>
          <w:p w14:paraId="60D096D4" w14:textId="77777777" w:rsidR="00726D14" w:rsidRPr="003C4ED1" w:rsidRDefault="00AF36EB" w:rsidP="00643246">
            <w:pPr>
              <w:jc w:val="center"/>
              <w:rPr>
                <w:rFonts w:asciiTheme="minorHAnsi" w:hAnsiTheme="minorHAnsi" w:cstheme="minorHAnsi"/>
                <w:sz w:val="24"/>
                <w:szCs w:val="24"/>
              </w:rPr>
            </w:pPr>
            <w:r w:rsidRPr="003C4ED1">
              <w:rPr>
                <w:rFonts w:asciiTheme="minorHAnsi" w:hAnsiTheme="minorHAnsi" w:cstheme="minorHAnsi"/>
                <w:sz w:val="24"/>
                <w:szCs w:val="24"/>
              </w:rPr>
              <w:t>PIC</w:t>
            </w:r>
          </w:p>
        </w:tc>
        <w:tc>
          <w:tcPr>
            <w:tcW w:w="1935" w:type="dxa"/>
            <w:tcBorders>
              <w:bottom w:val="single" w:sz="4" w:space="0" w:color="auto"/>
            </w:tcBorders>
            <w:shd w:val="clear" w:color="auto" w:fill="CCFFFF"/>
          </w:tcPr>
          <w:p w14:paraId="3D374039" w14:textId="77777777" w:rsidR="00726D14" w:rsidRPr="003C4ED1" w:rsidRDefault="00AF36EB" w:rsidP="00643246">
            <w:pPr>
              <w:jc w:val="center"/>
              <w:rPr>
                <w:rFonts w:asciiTheme="minorHAnsi" w:hAnsiTheme="minorHAnsi" w:cstheme="minorHAnsi"/>
                <w:sz w:val="24"/>
                <w:szCs w:val="24"/>
              </w:rPr>
            </w:pPr>
            <w:r w:rsidRPr="003C4ED1">
              <w:rPr>
                <w:rFonts w:asciiTheme="minorHAnsi" w:hAnsiTheme="minorHAnsi" w:cstheme="minorHAnsi"/>
                <w:sz w:val="24"/>
                <w:szCs w:val="24"/>
              </w:rPr>
              <w:t xml:space="preserve">Cross </w:t>
            </w:r>
            <w:r w:rsidR="00726D14" w:rsidRPr="003C4ED1">
              <w:rPr>
                <w:rFonts w:asciiTheme="minorHAnsi" w:hAnsiTheme="minorHAnsi" w:cstheme="minorHAnsi"/>
                <w:sz w:val="24"/>
                <w:szCs w:val="24"/>
              </w:rPr>
              <w:t>Reference</w:t>
            </w:r>
          </w:p>
        </w:tc>
      </w:tr>
      <w:tr w:rsidR="00726D14" w:rsidRPr="003C4ED1" w14:paraId="667762BA" w14:textId="77777777" w:rsidTr="00112287">
        <w:tc>
          <w:tcPr>
            <w:tcW w:w="704" w:type="dxa"/>
            <w:tcBorders>
              <w:bottom w:val="single" w:sz="4" w:space="0" w:color="auto"/>
            </w:tcBorders>
          </w:tcPr>
          <w:p w14:paraId="36A02038" w14:textId="77777777" w:rsidR="00726D14" w:rsidRPr="003C4ED1" w:rsidRDefault="00726D14" w:rsidP="00643246">
            <w:pPr>
              <w:rPr>
                <w:rFonts w:asciiTheme="minorHAnsi" w:hAnsiTheme="minorHAnsi" w:cstheme="minorHAnsi"/>
                <w:sz w:val="24"/>
                <w:szCs w:val="24"/>
              </w:rPr>
            </w:pPr>
          </w:p>
          <w:p w14:paraId="3800C396" w14:textId="77777777" w:rsidR="00726D14" w:rsidRPr="003C4ED1" w:rsidRDefault="00726D14" w:rsidP="00643246">
            <w:pPr>
              <w:rPr>
                <w:rFonts w:asciiTheme="minorHAnsi" w:hAnsiTheme="minorHAnsi" w:cstheme="minorHAnsi"/>
                <w:sz w:val="24"/>
                <w:szCs w:val="24"/>
              </w:rPr>
            </w:pPr>
          </w:p>
          <w:p w14:paraId="105C10A9" w14:textId="77777777" w:rsidR="00726D14" w:rsidRPr="003C4ED1" w:rsidRDefault="00726D14" w:rsidP="00643246">
            <w:pPr>
              <w:rPr>
                <w:rFonts w:asciiTheme="minorHAnsi" w:hAnsiTheme="minorHAnsi" w:cstheme="minorHAnsi"/>
                <w:sz w:val="24"/>
                <w:szCs w:val="24"/>
              </w:rPr>
            </w:pPr>
          </w:p>
        </w:tc>
        <w:tc>
          <w:tcPr>
            <w:tcW w:w="5953" w:type="dxa"/>
            <w:tcBorders>
              <w:bottom w:val="single" w:sz="4" w:space="0" w:color="auto"/>
            </w:tcBorders>
          </w:tcPr>
          <w:p w14:paraId="0AEB9168" w14:textId="51C6A922"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The review shall determine whether climate change is a relevant issue as required by ISO 45001:2018/Amd 1:2024. Significant outcomes shall be incorporated into the OHSMS scope, risk and opportunity registers, objectives, legal register, project safety plans, emergency response plans and management review inputs.</w:t>
            </w:r>
          </w:p>
          <w:p w14:paraId="36F7DB97" w14:textId="77777777" w:rsidR="003C4ED1" w:rsidRPr="00581EB0" w:rsidRDefault="003C4ED1" w:rsidP="00643246">
            <w:pPr>
              <w:rPr>
                <w:rFonts w:asciiTheme="minorHAnsi" w:hAnsiTheme="minorHAnsi" w:cstheme="minorHAnsi"/>
                <w:sz w:val="24"/>
                <w:szCs w:val="24"/>
              </w:rPr>
            </w:pPr>
          </w:p>
        </w:tc>
        <w:tc>
          <w:tcPr>
            <w:tcW w:w="1134" w:type="dxa"/>
            <w:tcBorders>
              <w:bottom w:val="single" w:sz="4" w:space="0" w:color="auto"/>
            </w:tcBorders>
          </w:tcPr>
          <w:p w14:paraId="5DB01289" w14:textId="57FFE0E8" w:rsidR="00CC5653" w:rsidRPr="003C4ED1" w:rsidRDefault="00CC5653" w:rsidP="00643246">
            <w:pPr>
              <w:jc w:val="center"/>
              <w:rPr>
                <w:rFonts w:asciiTheme="minorHAnsi" w:hAnsiTheme="minorHAnsi" w:cstheme="minorHAnsi"/>
                <w:sz w:val="24"/>
                <w:szCs w:val="24"/>
              </w:rPr>
            </w:pPr>
          </w:p>
        </w:tc>
        <w:tc>
          <w:tcPr>
            <w:tcW w:w="1935" w:type="dxa"/>
            <w:tcBorders>
              <w:bottom w:val="single" w:sz="4" w:space="0" w:color="auto"/>
            </w:tcBorders>
          </w:tcPr>
          <w:p w14:paraId="46C3F413" w14:textId="7D99674D" w:rsidR="00CC5653" w:rsidRPr="003C4ED1" w:rsidRDefault="00CC5653" w:rsidP="00643246">
            <w:pPr>
              <w:rPr>
                <w:rFonts w:asciiTheme="minorHAnsi" w:hAnsiTheme="minorHAnsi" w:cstheme="minorHAnsi"/>
                <w:sz w:val="24"/>
                <w:szCs w:val="24"/>
              </w:rPr>
            </w:pPr>
          </w:p>
        </w:tc>
      </w:tr>
      <w:tr w:rsidR="00393B0A" w:rsidRPr="003C4ED1" w14:paraId="1C48BEA0" w14:textId="77777777" w:rsidTr="00112287">
        <w:tc>
          <w:tcPr>
            <w:tcW w:w="704" w:type="dxa"/>
            <w:tcBorders>
              <w:top w:val="single" w:sz="4" w:space="0" w:color="auto"/>
              <w:left w:val="nil"/>
              <w:bottom w:val="nil"/>
              <w:right w:val="nil"/>
            </w:tcBorders>
          </w:tcPr>
          <w:p w14:paraId="2679C416" w14:textId="77777777" w:rsidR="00393B0A" w:rsidRPr="003C4ED1" w:rsidRDefault="00393B0A" w:rsidP="00643246">
            <w:pPr>
              <w:rPr>
                <w:rFonts w:asciiTheme="minorHAnsi" w:hAnsiTheme="minorHAnsi" w:cstheme="minorHAnsi"/>
                <w:sz w:val="24"/>
                <w:szCs w:val="24"/>
              </w:rPr>
            </w:pPr>
          </w:p>
        </w:tc>
        <w:tc>
          <w:tcPr>
            <w:tcW w:w="5953" w:type="dxa"/>
            <w:tcBorders>
              <w:top w:val="single" w:sz="4" w:space="0" w:color="auto"/>
              <w:left w:val="nil"/>
              <w:bottom w:val="nil"/>
              <w:right w:val="nil"/>
            </w:tcBorders>
          </w:tcPr>
          <w:p w14:paraId="286445D4" w14:textId="77777777" w:rsidR="00393B0A" w:rsidRPr="003C4ED1" w:rsidRDefault="00393B0A" w:rsidP="00643246">
            <w:pPr>
              <w:rPr>
                <w:rFonts w:asciiTheme="minorHAnsi" w:hAnsiTheme="minorHAnsi" w:cstheme="minorHAnsi"/>
                <w:sz w:val="24"/>
                <w:szCs w:val="24"/>
              </w:rPr>
            </w:pPr>
          </w:p>
        </w:tc>
        <w:tc>
          <w:tcPr>
            <w:tcW w:w="1134" w:type="dxa"/>
            <w:tcBorders>
              <w:top w:val="single" w:sz="4" w:space="0" w:color="auto"/>
              <w:left w:val="nil"/>
              <w:bottom w:val="nil"/>
              <w:right w:val="nil"/>
            </w:tcBorders>
          </w:tcPr>
          <w:p w14:paraId="29D79495" w14:textId="77777777" w:rsidR="00393B0A" w:rsidRPr="003C4ED1" w:rsidRDefault="00393B0A" w:rsidP="00643246">
            <w:pPr>
              <w:jc w:val="center"/>
              <w:rPr>
                <w:rFonts w:asciiTheme="minorHAnsi" w:hAnsiTheme="minorHAnsi" w:cstheme="minorHAnsi"/>
                <w:sz w:val="24"/>
                <w:szCs w:val="24"/>
              </w:rPr>
            </w:pPr>
          </w:p>
        </w:tc>
        <w:tc>
          <w:tcPr>
            <w:tcW w:w="1935" w:type="dxa"/>
            <w:tcBorders>
              <w:top w:val="single" w:sz="4" w:space="0" w:color="auto"/>
              <w:left w:val="nil"/>
              <w:bottom w:val="nil"/>
              <w:right w:val="nil"/>
            </w:tcBorders>
          </w:tcPr>
          <w:p w14:paraId="4E6BE54E" w14:textId="77777777" w:rsidR="00393B0A" w:rsidRPr="003C4ED1" w:rsidRDefault="00393B0A" w:rsidP="00643246">
            <w:pPr>
              <w:rPr>
                <w:rFonts w:asciiTheme="minorHAnsi" w:hAnsiTheme="minorHAnsi" w:cstheme="minorHAnsi"/>
                <w:sz w:val="24"/>
                <w:szCs w:val="24"/>
              </w:rPr>
            </w:pPr>
          </w:p>
        </w:tc>
      </w:tr>
    </w:tbl>
    <w:tbl>
      <w:tblPr>
        <w:tblStyle w:val="TableGrid"/>
        <w:tblW w:w="9781" w:type="dxa"/>
        <w:tblInd w:w="279" w:type="dxa"/>
        <w:tblLayout w:type="fixed"/>
        <w:tblLook w:val="04A0" w:firstRow="1" w:lastRow="0" w:firstColumn="1" w:lastColumn="0" w:noHBand="0" w:noVBand="1"/>
      </w:tblPr>
      <w:tblGrid>
        <w:gridCol w:w="2693"/>
        <w:gridCol w:w="2835"/>
        <w:gridCol w:w="3119"/>
        <w:gridCol w:w="1134"/>
      </w:tblGrid>
      <w:tr w:rsidR="00CC5653" w:rsidRPr="003C4ED1" w14:paraId="50989BEF" w14:textId="77777777" w:rsidTr="00DF31D7">
        <w:trPr>
          <w:tblHeader/>
        </w:trPr>
        <w:tc>
          <w:tcPr>
            <w:tcW w:w="2693" w:type="dxa"/>
            <w:shd w:val="clear" w:color="auto" w:fill="C6F4F1"/>
          </w:tcPr>
          <w:p w14:paraId="0D137402"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t>External Issues</w:t>
            </w:r>
          </w:p>
        </w:tc>
        <w:tc>
          <w:tcPr>
            <w:tcW w:w="2835" w:type="dxa"/>
            <w:shd w:val="clear" w:color="auto" w:fill="C6F4F1"/>
          </w:tcPr>
          <w:p w14:paraId="3E561C8F"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t>Risk Impact</w:t>
            </w:r>
          </w:p>
        </w:tc>
        <w:tc>
          <w:tcPr>
            <w:tcW w:w="3119" w:type="dxa"/>
            <w:shd w:val="clear" w:color="auto" w:fill="C6F4F1"/>
          </w:tcPr>
          <w:p w14:paraId="08927DC2"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t>Control Measures</w:t>
            </w:r>
          </w:p>
        </w:tc>
        <w:tc>
          <w:tcPr>
            <w:tcW w:w="1134" w:type="dxa"/>
            <w:shd w:val="clear" w:color="auto" w:fill="C6F4F1"/>
          </w:tcPr>
          <w:p w14:paraId="76EF2CDA"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t>PIC</w:t>
            </w:r>
          </w:p>
        </w:tc>
      </w:tr>
      <w:tr w:rsidR="00CC5653" w:rsidRPr="003C4ED1" w14:paraId="4C50C06E" w14:textId="77777777" w:rsidTr="00DF31D7">
        <w:tc>
          <w:tcPr>
            <w:tcW w:w="9781" w:type="dxa"/>
            <w:gridSpan w:val="4"/>
            <w:shd w:val="clear" w:color="auto" w:fill="E8F0D8"/>
          </w:tcPr>
          <w:p w14:paraId="09A2F9AB"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Political Considerations</w:t>
            </w:r>
          </w:p>
        </w:tc>
      </w:tr>
      <w:tr w:rsidR="00CC5653" w:rsidRPr="003C4ED1" w14:paraId="34E989D9" w14:textId="77777777" w:rsidTr="00DF31D7">
        <w:trPr>
          <w:cantSplit/>
        </w:trPr>
        <w:tc>
          <w:tcPr>
            <w:tcW w:w="2693" w:type="dxa"/>
          </w:tcPr>
          <w:p w14:paraId="40E89844"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Changes in Malaysian energy policy, national grid investment, public infrastructure priorities or approval processes may alter project locations, schedules and interfaces with utilities or government agencies. Overseas projects may also be affected by political instability, border restrictions or local security conditions.</w:t>
            </w:r>
          </w:p>
          <w:p w14:paraId="50F3155A" w14:textId="77777777" w:rsidR="00643246" w:rsidRPr="00393B0A" w:rsidRDefault="00643246" w:rsidP="00643246">
            <w:pPr>
              <w:rPr>
                <w:rFonts w:asciiTheme="minorHAnsi" w:hAnsiTheme="minorHAnsi" w:cstheme="minorHAnsi"/>
              </w:rPr>
            </w:pPr>
          </w:p>
        </w:tc>
        <w:tc>
          <w:tcPr>
            <w:tcW w:w="2835" w:type="dxa"/>
          </w:tcPr>
          <w:p w14:paraId="1886EBE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Compressed </w:t>
            </w:r>
            <w:proofErr w:type="spellStart"/>
            <w:r w:rsidRPr="003C4ED1">
              <w:rPr>
                <w:rFonts w:asciiTheme="minorHAnsi" w:hAnsiTheme="minorHAnsi" w:cstheme="minorHAnsi"/>
                <w:sz w:val="24"/>
                <w:szCs w:val="24"/>
              </w:rPr>
              <w:t>mobilisation</w:t>
            </w:r>
            <w:proofErr w:type="spellEnd"/>
            <w:r w:rsidRPr="003C4ED1">
              <w:rPr>
                <w:rFonts w:asciiTheme="minorHAnsi" w:hAnsiTheme="minorHAnsi" w:cstheme="minorHAnsi"/>
                <w:sz w:val="24"/>
                <w:szCs w:val="24"/>
              </w:rPr>
              <w:t xml:space="preserve"> periods, unfamiliar sites or disrupted access can reduce time for risk assessment, competent-person deployment and emergency preparation. Political instability may expose employees to travel, security and evacuation risks.</w:t>
            </w:r>
          </w:p>
        </w:tc>
        <w:tc>
          <w:tcPr>
            <w:tcW w:w="3119" w:type="dxa"/>
          </w:tcPr>
          <w:p w14:paraId="0B15887E" w14:textId="686FE351"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The Business Development, Project and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functions shall conduct country and project due diligence before commitment. </w:t>
            </w:r>
            <w:proofErr w:type="spellStart"/>
            <w:r w:rsidRPr="003C4ED1">
              <w:rPr>
                <w:rFonts w:asciiTheme="minorHAnsi" w:hAnsiTheme="minorHAnsi" w:cstheme="minorHAnsi"/>
                <w:sz w:val="24"/>
                <w:szCs w:val="24"/>
              </w:rPr>
              <w:t>Mobilisation</w:t>
            </w:r>
            <w:proofErr w:type="spellEnd"/>
            <w:r w:rsidRPr="003C4ED1">
              <w:rPr>
                <w:rFonts w:asciiTheme="minorHAnsi" w:hAnsiTheme="minorHAnsi" w:cstheme="minorHAnsi"/>
                <w:sz w:val="24"/>
                <w:szCs w:val="24"/>
              </w:rPr>
              <w:t xml:space="preserve"> gates shall require approved HIRARC, legal and permit reviews, security assessments, emergency and evacuation arrangements and confirmation of competent resources before site work begins.</w:t>
            </w:r>
          </w:p>
        </w:tc>
        <w:tc>
          <w:tcPr>
            <w:tcW w:w="1134" w:type="dxa"/>
          </w:tcPr>
          <w:p w14:paraId="5421EF63" w14:textId="630222FE"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MD / </w:t>
            </w:r>
            <w:r w:rsidR="00581EB0">
              <w:rPr>
                <w:rFonts w:asciiTheme="minorHAnsi" w:hAnsiTheme="minorHAnsi" w:cstheme="minorHAnsi"/>
                <w:sz w:val="24"/>
                <w:szCs w:val="24"/>
              </w:rPr>
              <w:t xml:space="preserve">ED / </w:t>
            </w:r>
            <w:r w:rsidRPr="003C4ED1">
              <w:rPr>
                <w:rFonts w:asciiTheme="minorHAnsi" w:hAnsiTheme="minorHAnsi" w:cstheme="minorHAnsi"/>
                <w:sz w:val="24"/>
                <w:szCs w:val="24"/>
              </w:rPr>
              <w:t xml:space="preserve">PD / </w:t>
            </w:r>
            <w:r w:rsidR="00581EB0">
              <w:rPr>
                <w:rFonts w:asciiTheme="minorHAnsi" w:hAnsiTheme="minorHAnsi" w:cstheme="minorHAnsi"/>
                <w:sz w:val="24"/>
                <w:szCs w:val="24"/>
              </w:rPr>
              <w:t>SHO</w:t>
            </w:r>
          </w:p>
        </w:tc>
      </w:tr>
      <w:tr w:rsidR="00CC5653" w:rsidRPr="003C4ED1" w14:paraId="0F7050F7" w14:textId="77777777" w:rsidTr="00DF31D7">
        <w:trPr>
          <w:cantSplit/>
        </w:trPr>
        <w:tc>
          <w:tcPr>
            <w:tcW w:w="2693" w:type="dxa"/>
          </w:tcPr>
          <w:p w14:paraId="7723C586"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Government expectations concerning local participation, foreign workers, work permits and </w:t>
            </w:r>
            <w:proofErr w:type="spellStart"/>
            <w:r w:rsidRPr="003C4ED1">
              <w:rPr>
                <w:rFonts w:asciiTheme="minorHAnsi" w:hAnsiTheme="minorHAnsi" w:cstheme="minorHAnsi"/>
                <w:sz w:val="24"/>
                <w:szCs w:val="24"/>
              </w:rPr>
              <w:t>localisation</w:t>
            </w:r>
            <w:proofErr w:type="spellEnd"/>
            <w:r w:rsidRPr="003C4ED1">
              <w:rPr>
                <w:rFonts w:asciiTheme="minorHAnsi" w:hAnsiTheme="minorHAnsi" w:cstheme="minorHAnsi"/>
                <w:sz w:val="24"/>
                <w:szCs w:val="24"/>
              </w:rPr>
              <w:t xml:space="preserve"> may affect the availability and composition of the project workforce.</w:t>
            </w:r>
          </w:p>
          <w:p w14:paraId="7E5A1E59" w14:textId="77777777" w:rsidR="00112287" w:rsidRPr="00393B0A" w:rsidRDefault="00112287" w:rsidP="00643246">
            <w:pPr>
              <w:rPr>
                <w:rFonts w:asciiTheme="minorHAnsi" w:hAnsiTheme="minorHAnsi" w:cstheme="minorHAnsi"/>
              </w:rPr>
            </w:pPr>
          </w:p>
        </w:tc>
        <w:tc>
          <w:tcPr>
            <w:tcW w:w="2835" w:type="dxa"/>
          </w:tcPr>
          <w:p w14:paraId="624B3856"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Rapid replacement of unavailable personnel or increased reliance on inexperienced </w:t>
            </w:r>
            <w:proofErr w:type="spellStart"/>
            <w:r w:rsidRPr="003C4ED1">
              <w:rPr>
                <w:rFonts w:asciiTheme="minorHAnsi" w:hAnsiTheme="minorHAnsi" w:cstheme="minorHAnsi"/>
                <w:sz w:val="24"/>
                <w:szCs w:val="24"/>
              </w:rPr>
              <w:t>labour</w:t>
            </w:r>
            <w:proofErr w:type="spellEnd"/>
            <w:r w:rsidRPr="003C4ED1">
              <w:rPr>
                <w:rFonts w:asciiTheme="minorHAnsi" w:hAnsiTheme="minorHAnsi" w:cstheme="minorHAnsi"/>
                <w:sz w:val="24"/>
                <w:szCs w:val="24"/>
              </w:rPr>
              <w:t xml:space="preserve"> can weaken supervision, communication and control of high-risk M&amp;E activities.</w:t>
            </w:r>
          </w:p>
        </w:tc>
        <w:tc>
          <w:tcPr>
            <w:tcW w:w="3119" w:type="dxa"/>
          </w:tcPr>
          <w:p w14:paraId="7ABD2CC1"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Human Resources and Project Management shall forecast workforce requirements, verify lawful employment and competency, plan succession and maintain adequate ratios of competent supervisors. Induction and task briefings shall be provided in languages and formats understood by workers.</w:t>
            </w:r>
          </w:p>
        </w:tc>
        <w:tc>
          <w:tcPr>
            <w:tcW w:w="1134" w:type="dxa"/>
          </w:tcPr>
          <w:p w14:paraId="466AEF6F"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HRM / PM / SHO</w:t>
            </w:r>
          </w:p>
        </w:tc>
      </w:tr>
      <w:tr w:rsidR="00CC5653" w:rsidRPr="003C4ED1" w14:paraId="1864A43B" w14:textId="77777777" w:rsidTr="00DF31D7">
        <w:tc>
          <w:tcPr>
            <w:tcW w:w="9781" w:type="dxa"/>
            <w:gridSpan w:val="4"/>
            <w:shd w:val="clear" w:color="auto" w:fill="E8F0D8"/>
          </w:tcPr>
          <w:p w14:paraId="62DECCD3"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Economic Considerations</w:t>
            </w:r>
          </w:p>
        </w:tc>
      </w:tr>
      <w:tr w:rsidR="00CC5653" w:rsidRPr="003C4ED1" w14:paraId="1F1297C0" w14:textId="77777777" w:rsidTr="00DF31D7">
        <w:trPr>
          <w:cantSplit/>
        </w:trPr>
        <w:tc>
          <w:tcPr>
            <w:tcW w:w="2693" w:type="dxa"/>
          </w:tcPr>
          <w:p w14:paraId="3C5AEFE2"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Inflation, exchange-rate volatility and increases in the cost of copper, switchgear, transformers, specialist plant, personal protective equipment and competent </w:t>
            </w:r>
            <w:proofErr w:type="spellStart"/>
            <w:r w:rsidRPr="003C4ED1">
              <w:rPr>
                <w:rFonts w:asciiTheme="minorHAnsi" w:hAnsiTheme="minorHAnsi" w:cstheme="minorHAnsi"/>
                <w:sz w:val="24"/>
                <w:szCs w:val="24"/>
              </w:rPr>
              <w:t>labour</w:t>
            </w:r>
            <w:proofErr w:type="spellEnd"/>
            <w:r w:rsidRPr="003C4ED1">
              <w:rPr>
                <w:rFonts w:asciiTheme="minorHAnsi" w:hAnsiTheme="minorHAnsi" w:cstheme="minorHAnsi"/>
                <w:sz w:val="24"/>
                <w:szCs w:val="24"/>
              </w:rPr>
              <w:t xml:space="preserve"> may place pressure on project budgets.</w:t>
            </w:r>
          </w:p>
          <w:p w14:paraId="67FD1C49" w14:textId="77777777" w:rsidR="00393B0A" w:rsidRPr="00393B0A" w:rsidRDefault="00393B0A" w:rsidP="00643246">
            <w:pPr>
              <w:rPr>
                <w:rFonts w:asciiTheme="minorHAnsi" w:hAnsiTheme="minorHAnsi" w:cstheme="minorHAnsi"/>
              </w:rPr>
            </w:pPr>
          </w:p>
        </w:tc>
        <w:tc>
          <w:tcPr>
            <w:tcW w:w="2835" w:type="dxa"/>
          </w:tcPr>
          <w:p w14:paraId="4CE2AA29" w14:textId="1C84D518"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Cost pressure can encourage delayed replacement, reduced maintenance, unsuitable substitution or insufficient safety resources which can increase electrical, </w:t>
            </w:r>
          </w:p>
          <w:p w14:paraId="4454872A" w14:textId="77777777" w:rsidR="00DF31D7" w:rsidRDefault="00DF31D7" w:rsidP="00DF31D7">
            <w:pPr>
              <w:rPr>
                <w:rFonts w:asciiTheme="minorHAnsi" w:hAnsiTheme="minorHAnsi" w:cstheme="minorHAnsi"/>
                <w:sz w:val="24"/>
                <w:szCs w:val="24"/>
              </w:rPr>
            </w:pPr>
            <w:r w:rsidRPr="003C4ED1">
              <w:rPr>
                <w:rFonts w:asciiTheme="minorHAnsi" w:hAnsiTheme="minorHAnsi" w:cstheme="minorHAnsi"/>
                <w:sz w:val="24"/>
                <w:szCs w:val="24"/>
              </w:rPr>
              <w:t>lifting, fire and occupational health risk.</w:t>
            </w:r>
          </w:p>
          <w:p w14:paraId="743306D7" w14:textId="77777777" w:rsidR="00643246" w:rsidRPr="003C4ED1" w:rsidRDefault="00643246" w:rsidP="00643246">
            <w:pPr>
              <w:rPr>
                <w:rFonts w:asciiTheme="minorHAnsi" w:hAnsiTheme="minorHAnsi" w:cstheme="minorHAnsi"/>
                <w:sz w:val="24"/>
                <w:szCs w:val="24"/>
              </w:rPr>
            </w:pPr>
          </w:p>
        </w:tc>
        <w:tc>
          <w:tcPr>
            <w:tcW w:w="3119" w:type="dxa"/>
          </w:tcPr>
          <w:p w14:paraId="649A5CA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Tender reviews and project budgets shall identify safety-critical resources as protected requirements. Technical substitutions shall undergo engineering review, HIRARC and approval. Procurement shall verify conformity, certification and lifecycle support before purchase.</w:t>
            </w:r>
          </w:p>
        </w:tc>
        <w:tc>
          <w:tcPr>
            <w:tcW w:w="1134" w:type="dxa"/>
          </w:tcPr>
          <w:p w14:paraId="10E0E735"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CFO / CM / PM</w:t>
            </w:r>
          </w:p>
        </w:tc>
      </w:tr>
      <w:tr w:rsidR="00CC5653" w:rsidRPr="003C4ED1" w14:paraId="31F0501E" w14:textId="77777777" w:rsidTr="00DF31D7">
        <w:trPr>
          <w:cantSplit/>
        </w:trPr>
        <w:tc>
          <w:tcPr>
            <w:tcW w:w="2693" w:type="dxa"/>
          </w:tcPr>
          <w:p w14:paraId="4DAFE44E"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lastRenderedPageBreak/>
              <w:t xml:space="preserve">Late payment, supply-chain disruption or extended equipment lead times may create </w:t>
            </w:r>
            <w:proofErr w:type="spellStart"/>
            <w:r w:rsidRPr="003C4ED1">
              <w:rPr>
                <w:rFonts w:asciiTheme="minorHAnsi" w:hAnsiTheme="minorHAnsi" w:cstheme="minorHAnsi"/>
                <w:sz w:val="24"/>
                <w:szCs w:val="24"/>
              </w:rPr>
              <w:t>programme</w:t>
            </w:r>
            <w:proofErr w:type="spellEnd"/>
            <w:r w:rsidRPr="003C4ED1">
              <w:rPr>
                <w:rFonts w:asciiTheme="minorHAnsi" w:hAnsiTheme="minorHAnsi" w:cstheme="minorHAnsi"/>
                <w:sz w:val="24"/>
                <w:szCs w:val="24"/>
              </w:rPr>
              <w:t xml:space="preserve"> compression and simultaneous operations during installation, testing and </w:t>
            </w:r>
            <w:proofErr w:type="spellStart"/>
            <w:r w:rsidRPr="003C4ED1">
              <w:rPr>
                <w:rFonts w:asciiTheme="minorHAnsi" w:hAnsiTheme="minorHAnsi" w:cstheme="minorHAnsi"/>
                <w:sz w:val="24"/>
                <w:szCs w:val="24"/>
              </w:rPr>
              <w:t>energisation</w:t>
            </w:r>
            <w:proofErr w:type="spellEnd"/>
            <w:r w:rsidRPr="003C4ED1">
              <w:rPr>
                <w:rFonts w:asciiTheme="minorHAnsi" w:hAnsiTheme="minorHAnsi" w:cstheme="minorHAnsi"/>
                <w:sz w:val="24"/>
                <w:szCs w:val="24"/>
              </w:rPr>
              <w:t>.</w:t>
            </w:r>
          </w:p>
          <w:p w14:paraId="27545CC5" w14:textId="77777777" w:rsidR="00643246" w:rsidRPr="00393B0A" w:rsidRDefault="00643246" w:rsidP="00643246">
            <w:pPr>
              <w:rPr>
                <w:rFonts w:asciiTheme="minorHAnsi" w:hAnsiTheme="minorHAnsi" w:cstheme="minorHAnsi"/>
              </w:rPr>
            </w:pPr>
          </w:p>
        </w:tc>
        <w:tc>
          <w:tcPr>
            <w:tcW w:w="2835" w:type="dxa"/>
          </w:tcPr>
          <w:p w14:paraId="6A77B7FF"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Accelerated work can increase fatigue, overtime, congestion, interface failures and unauthorised deviation from approved methods or isolation arrangements.</w:t>
            </w:r>
          </w:p>
        </w:tc>
        <w:tc>
          <w:tcPr>
            <w:tcW w:w="3119" w:type="dxa"/>
          </w:tcPr>
          <w:p w14:paraId="0DDAA7F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Project controls </w:t>
            </w:r>
            <w:proofErr w:type="gramStart"/>
            <w:r w:rsidRPr="003C4ED1">
              <w:rPr>
                <w:rFonts w:asciiTheme="minorHAnsi" w:hAnsiTheme="minorHAnsi" w:cstheme="minorHAnsi"/>
                <w:sz w:val="24"/>
                <w:szCs w:val="24"/>
              </w:rPr>
              <w:t>shall</w:t>
            </w:r>
            <w:proofErr w:type="gramEnd"/>
            <w:r w:rsidRPr="003C4ED1">
              <w:rPr>
                <w:rFonts w:asciiTheme="minorHAnsi" w:hAnsiTheme="minorHAnsi" w:cstheme="minorHAnsi"/>
                <w:sz w:val="24"/>
                <w:szCs w:val="24"/>
              </w:rPr>
              <w:t xml:space="preserve"> use realistic programmes, change management and look-ahead risk reviews. Recovery plans shall preserve required supervision, rest periods, testing sequence, permit controls and hold points. Unsafe acceleration shall be escalated to Top Management and the client.</w:t>
            </w:r>
          </w:p>
        </w:tc>
        <w:tc>
          <w:tcPr>
            <w:tcW w:w="1134" w:type="dxa"/>
          </w:tcPr>
          <w:p w14:paraId="1869E7DA" w14:textId="21CFB35E"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PD / PM / </w:t>
            </w:r>
            <w:r w:rsidR="00112287">
              <w:rPr>
                <w:rFonts w:asciiTheme="minorHAnsi" w:hAnsiTheme="minorHAnsi" w:cstheme="minorHAnsi"/>
                <w:sz w:val="24"/>
                <w:szCs w:val="24"/>
              </w:rPr>
              <w:t>SHO</w:t>
            </w:r>
          </w:p>
        </w:tc>
      </w:tr>
      <w:tr w:rsidR="00CC5653" w:rsidRPr="003C4ED1" w14:paraId="50DDF384" w14:textId="77777777" w:rsidTr="00DF31D7">
        <w:tc>
          <w:tcPr>
            <w:tcW w:w="9781" w:type="dxa"/>
            <w:gridSpan w:val="4"/>
            <w:shd w:val="clear" w:color="auto" w:fill="E8F0D8"/>
          </w:tcPr>
          <w:p w14:paraId="6B3E5208"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Social Considerations</w:t>
            </w:r>
          </w:p>
        </w:tc>
      </w:tr>
      <w:tr w:rsidR="00CC5653" w:rsidRPr="003C4ED1" w14:paraId="15D6EEED" w14:textId="77777777" w:rsidTr="00DF31D7">
        <w:trPr>
          <w:cantSplit/>
        </w:trPr>
        <w:tc>
          <w:tcPr>
            <w:tcW w:w="2693" w:type="dxa"/>
          </w:tcPr>
          <w:p w14:paraId="6DD3FD78" w14:textId="79D23171" w:rsidR="00643246" w:rsidRPr="00DF31D7"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The Company’s workforce may include employees, local subcontractors and overseas workers with different languages, literacy levels, safety cultures and experience of high-voltage or critical-environment work.</w:t>
            </w:r>
          </w:p>
        </w:tc>
        <w:tc>
          <w:tcPr>
            <w:tcW w:w="2835" w:type="dxa"/>
          </w:tcPr>
          <w:p w14:paraId="78AFE1B9"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Important instructions may be </w:t>
            </w:r>
            <w:proofErr w:type="gramStart"/>
            <w:r w:rsidRPr="003C4ED1">
              <w:rPr>
                <w:rFonts w:asciiTheme="minorHAnsi" w:hAnsiTheme="minorHAnsi" w:cstheme="minorHAnsi"/>
                <w:sz w:val="24"/>
                <w:szCs w:val="24"/>
              </w:rPr>
              <w:t>misunderstood</w:t>
            </w:r>
            <w:proofErr w:type="gramEnd"/>
            <w:r w:rsidRPr="003C4ED1">
              <w:rPr>
                <w:rFonts w:asciiTheme="minorHAnsi" w:hAnsiTheme="minorHAnsi" w:cstheme="minorHAnsi"/>
                <w:sz w:val="24"/>
                <w:szCs w:val="24"/>
              </w:rPr>
              <w:t xml:space="preserve"> and workers may be reluctant to raise concerns or stop work. This can affect switching, lifting, </w:t>
            </w:r>
            <w:proofErr w:type="gramStart"/>
            <w:r w:rsidRPr="003C4ED1">
              <w:rPr>
                <w:rFonts w:asciiTheme="minorHAnsi" w:hAnsiTheme="minorHAnsi" w:cstheme="minorHAnsi"/>
                <w:sz w:val="24"/>
                <w:szCs w:val="24"/>
              </w:rPr>
              <w:t>confined-space</w:t>
            </w:r>
            <w:proofErr w:type="gramEnd"/>
            <w:r w:rsidRPr="003C4ED1">
              <w:rPr>
                <w:rFonts w:asciiTheme="minorHAnsi" w:hAnsiTheme="minorHAnsi" w:cstheme="minorHAnsi"/>
                <w:sz w:val="24"/>
                <w:szCs w:val="24"/>
              </w:rPr>
              <w:t>, work-at-height and emergency activities.</w:t>
            </w:r>
          </w:p>
        </w:tc>
        <w:tc>
          <w:tcPr>
            <w:tcW w:w="3119" w:type="dxa"/>
          </w:tcPr>
          <w:p w14:paraId="0E735D3D"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Competency shall be verified in practice. Induction, toolbox talks, permits and emergency instructions shall use clear language, visual aids and interpreters where necessary. Worker consultation, confidential reporting and stop-work authority shall be actively supported.</w:t>
            </w:r>
          </w:p>
        </w:tc>
        <w:tc>
          <w:tcPr>
            <w:tcW w:w="1134" w:type="dxa"/>
          </w:tcPr>
          <w:p w14:paraId="7ACC9757"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HRM / SHO / PM</w:t>
            </w:r>
          </w:p>
        </w:tc>
      </w:tr>
      <w:tr w:rsidR="00CC5653" w:rsidRPr="003C4ED1" w14:paraId="10C39789" w14:textId="77777777" w:rsidTr="00DF31D7">
        <w:trPr>
          <w:cantSplit/>
        </w:trPr>
        <w:tc>
          <w:tcPr>
            <w:tcW w:w="2693" w:type="dxa"/>
          </w:tcPr>
          <w:p w14:paraId="7198B98F" w14:textId="49F93789" w:rsidR="00112287" w:rsidRPr="00393B0A" w:rsidRDefault="00000000" w:rsidP="00DF31D7">
            <w:pPr>
              <w:rPr>
                <w:rFonts w:asciiTheme="minorHAnsi" w:hAnsiTheme="minorHAnsi" w:cstheme="minorHAnsi"/>
              </w:rPr>
            </w:pPr>
            <w:r w:rsidRPr="003C4ED1">
              <w:rPr>
                <w:rFonts w:asciiTheme="minorHAnsi" w:hAnsiTheme="minorHAnsi" w:cstheme="minorHAnsi"/>
                <w:sz w:val="24"/>
                <w:szCs w:val="24"/>
              </w:rPr>
              <w:t>Public and stakeholder expectations for responsible corporate conduct are heightened because the Company is listed on Bursa Malaysia and works in communities, occupied buildings, manufacturing sites and essential infrastructure.</w:t>
            </w:r>
          </w:p>
        </w:tc>
        <w:tc>
          <w:tcPr>
            <w:tcW w:w="2835" w:type="dxa"/>
          </w:tcPr>
          <w:p w14:paraId="0B139D63"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Failure to control noise, traffic, dust, public access or service interruption can harm persons, damage trust and trigger complaints, enforcement or loss of stakeholder confidence.</w:t>
            </w:r>
          </w:p>
        </w:tc>
        <w:tc>
          <w:tcPr>
            <w:tcW w:w="3119" w:type="dxa"/>
          </w:tcPr>
          <w:p w14:paraId="0A898AF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Projects shall identify community and occupier interfaces, establish traffic and access controls, communicate disruptive work, investigate complaints and report material OHS matters through appropriate governance channels.</w:t>
            </w:r>
          </w:p>
        </w:tc>
        <w:tc>
          <w:tcPr>
            <w:tcW w:w="1134" w:type="dxa"/>
          </w:tcPr>
          <w:p w14:paraId="59A457A7"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MD / ESG / PM</w:t>
            </w:r>
          </w:p>
        </w:tc>
      </w:tr>
      <w:tr w:rsidR="00CC5653" w:rsidRPr="003C4ED1" w14:paraId="1C5C330E" w14:textId="77777777" w:rsidTr="00DF31D7">
        <w:tc>
          <w:tcPr>
            <w:tcW w:w="9781" w:type="dxa"/>
            <w:gridSpan w:val="4"/>
            <w:shd w:val="clear" w:color="auto" w:fill="E8F0D8"/>
          </w:tcPr>
          <w:p w14:paraId="3A990B88"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Technological Considerations</w:t>
            </w:r>
          </w:p>
        </w:tc>
      </w:tr>
      <w:tr w:rsidR="00CC5653" w:rsidRPr="003C4ED1" w14:paraId="48FD0E4F" w14:textId="77777777" w:rsidTr="00DF31D7">
        <w:trPr>
          <w:cantSplit/>
        </w:trPr>
        <w:tc>
          <w:tcPr>
            <w:tcW w:w="2693" w:type="dxa"/>
          </w:tcPr>
          <w:p w14:paraId="426437CC"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Rapid adoption of digital substations, intelligent protection systems, building automation, battery energy storage, data-centre technology and advanced manufacturing equipment changes the nature of M&amp;E risk.</w:t>
            </w:r>
          </w:p>
          <w:p w14:paraId="181F60FA" w14:textId="77777777" w:rsidR="00643246" w:rsidRPr="003C4ED1" w:rsidRDefault="00643246" w:rsidP="00643246">
            <w:pPr>
              <w:rPr>
                <w:rFonts w:asciiTheme="minorHAnsi" w:hAnsiTheme="minorHAnsi" w:cstheme="minorHAnsi"/>
                <w:sz w:val="24"/>
                <w:szCs w:val="24"/>
              </w:rPr>
            </w:pPr>
          </w:p>
        </w:tc>
        <w:tc>
          <w:tcPr>
            <w:tcW w:w="2835" w:type="dxa"/>
          </w:tcPr>
          <w:p w14:paraId="06D815D7"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Workers may encounter unfamiliar energy sources, remote operation, automatic restart, software-controlled equipment, stored energy or incorrect configuration during installation, testing or maintenance.</w:t>
            </w:r>
          </w:p>
        </w:tc>
        <w:tc>
          <w:tcPr>
            <w:tcW w:w="3119" w:type="dxa"/>
          </w:tcPr>
          <w:p w14:paraId="2ACA835E" w14:textId="5F12AEBC"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Engineering and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reviews shall assess new technology before use. Manufacturers’ information, competency training, controlled software and settings, functional testing, LOTO and authorised energisation procedures shall be established before operational release.</w:t>
            </w:r>
          </w:p>
        </w:tc>
        <w:tc>
          <w:tcPr>
            <w:tcW w:w="1134" w:type="dxa"/>
          </w:tcPr>
          <w:p w14:paraId="361E71B5" w14:textId="52C9F334"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ED / EM / </w:t>
            </w:r>
            <w:r w:rsidR="00112287">
              <w:rPr>
                <w:rFonts w:asciiTheme="minorHAnsi" w:hAnsiTheme="minorHAnsi" w:cstheme="minorHAnsi"/>
                <w:sz w:val="24"/>
                <w:szCs w:val="24"/>
              </w:rPr>
              <w:t>SHO</w:t>
            </w:r>
          </w:p>
        </w:tc>
      </w:tr>
      <w:tr w:rsidR="00CC5653" w:rsidRPr="003C4ED1" w14:paraId="74E79B15" w14:textId="77777777" w:rsidTr="00DF31D7">
        <w:trPr>
          <w:cantSplit/>
        </w:trPr>
        <w:tc>
          <w:tcPr>
            <w:tcW w:w="2693" w:type="dxa"/>
          </w:tcPr>
          <w:p w14:paraId="14623016"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lastRenderedPageBreak/>
              <w:t>Digital engineering, mobile inspection systems, drones, remote monitoring and electronic permit systems can strengthen visibility and control but may introduce data integrity, cyber-security and overreliance risks.</w:t>
            </w:r>
          </w:p>
          <w:p w14:paraId="2F1AD992" w14:textId="77777777" w:rsidR="00643246" w:rsidRPr="003C4ED1" w:rsidRDefault="00643246" w:rsidP="00643246">
            <w:pPr>
              <w:rPr>
                <w:rFonts w:asciiTheme="minorHAnsi" w:hAnsiTheme="minorHAnsi" w:cstheme="minorHAnsi"/>
                <w:sz w:val="24"/>
                <w:szCs w:val="24"/>
              </w:rPr>
            </w:pPr>
          </w:p>
        </w:tc>
        <w:tc>
          <w:tcPr>
            <w:tcW w:w="2835" w:type="dxa"/>
          </w:tcPr>
          <w:p w14:paraId="34198CF5"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Incorrect or unavailable digital information can result in work on the wrong equipment, missed inspection findings or unsafe remote commands affecting workers and critical systems.</w:t>
            </w:r>
          </w:p>
        </w:tc>
        <w:tc>
          <w:tcPr>
            <w:tcW w:w="3119" w:type="dxa"/>
          </w:tcPr>
          <w:p w14:paraId="5341617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The Company shall control access, revision status, backups, cyber-security interfaces and verification of safety-critical digital information. Field personnel shall confirm equipment identity and physical conditions rather than relying solely on remote data.</w:t>
            </w:r>
          </w:p>
        </w:tc>
        <w:tc>
          <w:tcPr>
            <w:tcW w:w="1134" w:type="dxa"/>
          </w:tcPr>
          <w:p w14:paraId="0E447FCD"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IT / EM / PM</w:t>
            </w:r>
          </w:p>
        </w:tc>
      </w:tr>
      <w:tr w:rsidR="00CC5653" w:rsidRPr="003C4ED1" w14:paraId="430932F4" w14:textId="77777777" w:rsidTr="00DF31D7">
        <w:tc>
          <w:tcPr>
            <w:tcW w:w="9781" w:type="dxa"/>
            <w:gridSpan w:val="4"/>
            <w:shd w:val="clear" w:color="auto" w:fill="E8F0D8"/>
          </w:tcPr>
          <w:p w14:paraId="74357CFF"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Legal Considerations</w:t>
            </w:r>
          </w:p>
        </w:tc>
      </w:tr>
      <w:tr w:rsidR="00CC5653" w:rsidRPr="003C4ED1" w14:paraId="51182940" w14:textId="77777777" w:rsidTr="00DF31D7">
        <w:trPr>
          <w:cantSplit/>
        </w:trPr>
        <w:tc>
          <w:tcPr>
            <w:tcW w:w="2693" w:type="dxa"/>
          </w:tcPr>
          <w:p w14:paraId="2135BEE7"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Malaysia’s occupational safety and health framework continues to develop including the Occupational Safety and Health Act 1994 as amended in 2022 and the Occupational Safety and Health (Construction Work) (Design and Management) Regulations 2024.</w:t>
            </w:r>
          </w:p>
          <w:p w14:paraId="52F49F45" w14:textId="77777777" w:rsidR="00643246" w:rsidRPr="003C4ED1" w:rsidRDefault="00643246" w:rsidP="00643246">
            <w:pPr>
              <w:rPr>
                <w:rFonts w:asciiTheme="minorHAnsi" w:hAnsiTheme="minorHAnsi" w:cstheme="minorHAnsi"/>
                <w:sz w:val="24"/>
                <w:szCs w:val="24"/>
              </w:rPr>
            </w:pPr>
          </w:p>
        </w:tc>
        <w:tc>
          <w:tcPr>
            <w:tcW w:w="2835" w:type="dxa"/>
          </w:tcPr>
          <w:p w14:paraId="0D8EF1B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Failure to recognise new duties, appointments, design-stage risk obligations or notification requirements can expose workers to uncontrolled hazards and expose the Company or its officers to enforcement.</w:t>
            </w:r>
          </w:p>
        </w:tc>
        <w:tc>
          <w:tcPr>
            <w:tcW w:w="3119" w:type="dxa"/>
          </w:tcPr>
          <w:p w14:paraId="3FDC80B4" w14:textId="7A85BBF9"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The Legal Requirements Officer </w:t>
            </w:r>
            <w:r w:rsidR="00112287">
              <w:rPr>
                <w:rFonts w:asciiTheme="minorHAnsi" w:hAnsiTheme="minorHAnsi" w:cstheme="minorHAnsi"/>
                <w:sz w:val="24"/>
                <w:szCs w:val="24"/>
              </w:rPr>
              <w:t xml:space="preserve">(LRO) </w:t>
            </w:r>
            <w:r w:rsidRPr="003C4ED1">
              <w:rPr>
                <w:rFonts w:asciiTheme="minorHAnsi" w:hAnsiTheme="minorHAnsi" w:cstheme="minorHAnsi"/>
                <w:sz w:val="24"/>
                <w:szCs w:val="24"/>
              </w:rPr>
              <w:t xml:space="preserve">and Head of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shall monitor amendments, maintain the legal register, evaluate compliance and brief affected functions. Project procedures, appointments, design reviews, records and training shall be updated before the applicable requirements take effect.</w:t>
            </w:r>
          </w:p>
        </w:tc>
        <w:tc>
          <w:tcPr>
            <w:tcW w:w="1134" w:type="dxa"/>
          </w:tcPr>
          <w:p w14:paraId="09425734" w14:textId="08E7267C"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LRO /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 IM</w:t>
            </w:r>
          </w:p>
        </w:tc>
      </w:tr>
      <w:tr w:rsidR="00CC5653" w:rsidRPr="003C4ED1" w14:paraId="33DFE132" w14:textId="77777777" w:rsidTr="00DF31D7">
        <w:trPr>
          <w:cantSplit/>
        </w:trPr>
        <w:tc>
          <w:tcPr>
            <w:tcW w:w="2693" w:type="dxa"/>
          </w:tcPr>
          <w:p w14:paraId="26F36168"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High-voltage and low-voltage work is subject to the Electricity Supply Act 1990, Electricity Regulations 1994 and requirements administered by Suruhanjaya Tenaga together with utility and client rules.</w:t>
            </w:r>
          </w:p>
        </w:tc>
        <w:tc>
          <w:tcPr>
            <w:tcW w:w="2835" w:type="dxa"/>
          </w:tcPr>
          <w:p w14:paraId="055CFD43"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Work performed without the correct competent person, switching control, isolation, test equipment, certification or statutory inspection can cause fatal electric shock, arc flash, fire or network disturbance.</w:t>
            </w:r>
          </w:p>
          <w:p w14:paraId="61EC8E7F" w14:textId="77777777" w:rsidR="00643246" w:rsidRPr="00112287" w:rsidRDefault="00643246" w:rsidP="00643246">
            <w:pPr>
              <w:rPr>
                <w:rFonts w:asciiTheme="minorHAnsi" w:hAnsiTheme="minorHAnsi" w:cstheme="minorHAnsi"/>
              </w:rPr>
            </w:pPr>
          </w:p>
        </w:tc>
        <w:tc>
          <w:tcPr>
            <w:tcW w:w="3119" w:type="dxa"/>
          </w:tcPr>
          <w:p w14:paraId="4B23956C" w14:textId="77E668F6" w:rsidR="00DF31D7"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Only appropriately registered or authorised competent persons shall control regulated work. The Company shall verify registrations and renewals, maintain electrical safety rules, approve switching programmes, apply LOTO, test for dead and control </w:t>
            </w:r>
            <w:proofErr w:type="spellStart"/>
            <w:r w:rsidRPr="003C4ED1">
              <w:rPr>
                <w:rFonts w:asciiTheme="minorHAnsi" w:hAnsiTheme="minorHAnsi" w:cstheme="minorHAnsi"/>
                <w:sz w:val="24"/>
                <w:szCs w:val="24"/>
              </w:rPr>
              <w:t>energisation</w:t>
            </w:r>
            <w:proofErr w:type="spellEnd"/>
            <w:r w:rsidRPr="003C4ED1">
              <w:rPr>
                <w:rFonts w:asciiTheme="minorHAnsi" w:hAnsiTheme="minorHAnsi" w:cstheme="minorHAnsi"/>
                <w:sz w:val="24"/>
                <w:szCs w:val="24"/>
              </w:rPr>
              <w:t xml:space="preserve"> and handover.</w:t>
            </w:r>
          </w:p>
        </w:tc>
        <w:tc>
          <w:tcPr>
            <w:tcW w:w="1134" w:type="dxa"/>
          </w:tcPr>
          <w:p w14:paraId="2F2830AB" w14:textId="162F4195"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EM / CP / </w:t>
            </w:r>
            <w:r w:rsidR="00112287">
              <w:rPr>
                <w:rFonts w:asciiTheme="minorHAnsi" w:hAnsiTheme="minorHAnsi" w:cstheme="minorHAnsi"/>
                <w:sz w:val="24"/>
                <w:szCs w:val="24"/>
              </w:rPr>
              <w:t>SHO</w:t>
            </w:r>
          </w:p>
        </w:tc>
      </w:tr>
      <w:tr w:rsidR="00CC5653" w:rsidRPr="003C4ED1" w14:paraId="56B977D0" w14:textId="77777777" w:rsidTr="00DF31D7">
        <w:tc>
          <w:tcPr>
            <w:tcW w:w="9781" w:type="dxa"/>
            <w:gridSpan w:val="4"/>
            <w:shd w:val="clear" w:color="auto" w:fill="E8F0D8"/>
          </w:tcPr>
          <w:p w14:paraId="2ECF032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Environmental Considerations</w:t>
            </w:r>
          </w:p>
        </w:tc>
      </w:tr>
      <w:tr w:rsidR="00CC5653" w:rsidRPr="003C4ED1" w14:paraId="47574095" w14:textId="77777777" w:rsidTr="00DF31D7">
        <w:trPr>
          <w:cantSplit/>
        </w:trPr>
        <w:tc>
          <w:tcPr>
            <w:tcW w:w="2693" w:type="dxa"/>
          </w:tcPr>
          <w:p w14:paraId="71FDB4F5" w14:textId="617BB844"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Climate change is relevant because extreme rainfall, flash flooding, heat, lightning, haze, high winds and changing weather patterns can affect outdoor substations, excavations, lifting, work </w:t>
            </w:r>
          </w:p>
          <w:p w14:paraId="243655AF" w14:textId="77777777" w:rsidR="00643246" w:rsidRPr="00112287" w:rsidRDefault="00643246" w:rsidP="00643246">
            <w:pPr>
              <w:rPr>
                <w:rFonts w:asciiTheme="minorHAnsi" w:hAnsiTheme="minorHAnsi" w:cstheme="minorHAnsi"/>
              </w:rPr>
            </w:pPr>
          </w:p>
        </w:tc>
        <w:tc>
          <w:tcPr>
            <w:tcW w:w="2835" w:type="dxa"/>
          </w:tcPr>
          <w:p w14:paraId="5381DC5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Severe weather may cause heat illness, reduced concentration, slope or excavation failure, crane instability, lightning exposure, flooding, electrical ingress, access disruption and delayed emergency response.</w:t>
            </w:r>
          </w:p>
        </w:tc>
        <w:tc>
          <w:tcPr>
            <w:tcW w:w="3119" w:type="dxa"/>
          </w:tcPr>
          <w:p w14:paraId="37EFA1B2" w14:textId="26BB76A1"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Project HIRARC and emergency plans shall use location-specific weather and flood information. Work-rest regimes, hydration, shaded recovery areas, lightning and wind limits, drainage, flood protection, equipment ingress protection, </w:t>
            </w:r>
          </w:p>
        </w:tc>
        <w:tc>
          <w:tcPr>
            <w:tcW w:w="1134" w:type="dxa"/>
          </w:tcPr>
          <w:p w14:paraId="7F1AEF32"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PM / SHO / ERTO</w:t>
            </w:r>
          </w:p>
        </w:tc>
      </w:tr>
      <w:tr w:rsidR="008246B3" w:rsidRPr="003C4ED1" w14:paraId="0DD2D47F" w14:textId="77777777" w:rsidTr="00DF31D7">
        <w:trPr>
          <w:cantSplit/>
        </w:trPr>
        <w:tc>
          <w:tcPr>
            <w:tcW w:w="2693" w:type="dxa"/>
          </w:tcPr>
          <w:p w14:paraId="04AA3FD9" w14:textId="6258E4DD" w:rsidR="008246B3" w:rsidRPr="003C4ED1" w:rsidRDefault="008246B3" w:rsidP="00643246">
            <w:pPr>
              <w:rPr>
                <w:rFonts w:asciiTheme="minorHAnsi" w:hAnsiTheme="minorHAnsi" w:cstheme="minorHAnsi"/>
                <w:sz w:val="24"/>
                <w:szCs w:val="24"/>
              </w:rPr>
            </w:pPr>
            <w:r w:rsidRPr="003C4ED1">
              <w:rPr>
                <w:rFonts w:asciiTheme="minorHAnsi" w:hAnsiTheme="minorHAnsi" w:cstheme="minorHAnsi"/>
                <w:sz w:val="24"/>
                <w:szCs w:val="24"/>
              </w:rPr>
              <w:lastRenderedPageBreak/>
              <w:t>at height, temporary power and worker health.</w:t>
            </w:r>
          </w:p>
        </w:tc>
        <w:tc>
          <w:tcPr>
            <w:tcW w:w="2835" w:type="dxa"/>
          </w:tcPr>
          <w:p w14:paraId="12602A39" w14:textId="77777777" w:rsidR="008246B3" w:rsidRPr="003C4ED1" w:rsidRDefault="008246B3" w:rsidP="00643246">
            <w:pPr>
              <w:rPr>
                <w:rFonts w:asciiTheme="minorHAnsi" w:hAnsiTheme="minorHAnsi" w:cstheme="minorHAnsi"/>
                <w:sz w:val="24"/>
                <w:szCs w:val="24"/>
              </w:rPr>
            </w:pPr>
          </w:p>
        </w:tc>
        <w:tc>
          <w:tcPr>
            <w:tcW w:w="3119" w:type="dxa"/>
          </w:tcPr>
          <w:p w14:paraId="0E407DA3" w14:textId="00C2D5EF" w:rsidR="008246B3" w:rsidRPr="003C4ED1" w:rsidRDefault="008246B3" w:rsidP="00643246">
            <w:pPr>
              <w:rPr>
                <w:rFonts w:asciiTheme="minorHAnsi" w:hAnsiTheme="minorHAnsi" w:cstheme="minorHAnsi"/>
                <w:sz w:val="24"/>
                <w:szCs w:val="24"/>
              </w:rPr>
            </w:pPr>
            <w:r w:rsidRPr="003C4ED1">
              <w:rPr>
                <w:rFonts w:asciiTheme="minorHAnsi" w:hAnsiTheme="minorHAnsi" w:cstheme="minorHAnsi"/>
                <w:sz w:val="24"/>
                <w:szCs w:val="24"/>
              </w:rPr>
              <w:t>emergency communications and stop-work criteria shall be established and monitored.</w:t>
            </w:r>
          </w:p>
        </w:tc>
        <w:tc>
          <w:tcPr>
            <w:tcW w:w="1134" w:type="dxa"/>
          </w:tcPr>
          <w:p w14:paraId="5B20A124" w14:textId="77777777" w:rsidR="008246B3" w:rsidRPr="003C4ED1" w:rsidRDefault="008246B3" w:rsidP="00643246">
            <w:pPr>
              <w:rPr>
                <w:rFonts w:asciiTheme="minorHAnsi" w:hAnsiTheme="minorHAnsi" w:cstheme="minorHAnsi"/>
                <w:sz w:val="24"/>
                <w:szCs w:val="24"/>
              </w:rPr>
            </w:pPr>
          </w:p>
        </w:tc>
      </w:tr>
      <w:tr w:rsidR="00CC5653" w:rsidRPr="003C4ED1" w14:paraId="3E8A7149" w14:textId="77777777" w:rsidTr="00DF31D7">
        <w:trPr>
          <w:cantSplit/>
        </w:trPr>
        <w:tc>
          <w:tcPr>
            <w:tcW w:w="2693" w:type="dxa"/>
          </w:tcPr>
          <w:p w14:paraId="7622A07B"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Projects in green plants, industrial areas, sensitive manufacturing environments and overseas locations may involve chemicals, emissions, contaminated land, restricted discharge and </w:t>
            </w:r>
            <w:proofErr w:type="spellStart"/>
            <w:r w:rsidRPr="003C4ED1">
              <w:rPr>
                <w:rFonts w:asciiTheme="minorHAnsi" w:hAnsiTheme="minorHAnsi" w:cstheme="minorHAnsi"/>
                <w:sz w:val="24"/>
                <w:szCs w:val="24"/>
              </w:rPr>
              <w:t>specialised</w:t>
            </w:r>
            <w:proofErr w:type="spellEnd"/>
            <w:r w:rsidRPr="003C4ED1">
              <w:rPr>
                <w:rFonts w:asciiTheme="minorHAnsi" w:hAnsiTheme="minorHAnsi" w:cstheme="minorHAnsi"/>
                <w:sz w:val="24"/>
                <w:szCs w:val="24"/>
              </w:rPr>
              <w:t xml:space="preserve"> waste controls.</w:t>
            </w:r>
          </w:p>
          <w:p w14:paraId="795571DC" w14:textId="77777777" w:rsidR="00643246" w:rsidRPr="00112287" w:rsidRDefault="00643246" w:rsidP="00643246">
            <w:pPr>
              <w:rPr>
                <w:rFonts w:asciiTheme="minorHAnsi" w:hAnsiTheme="minorHAnsi" w:cstheme="minorHAnsi"/>
              </w:rPr>
            </w:pPr>
          </w:p>
        </w:tc>
        <w:tc>
          <w:tcPr>
            <w:tcW w:w="2835" w:type="dxa"/>
          </w:tcPr>
          <w:p w14:paraId="5DFE0E0A"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Unplanned releases or exposure can cause acute injury, occupational illness, fire, evacuation, contamination or regulatory action.</w:t>
            </w:r>
          </w:p>
        </w:tc>
        <w:tc>
          <w:tcPr>
            <w:tcW w:w="3119" w:type="dxa"/>
          </w:tcPr>
          <w:p w14:paraId="766D7F0E"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Chemical registers, safety data sheets, exposure assessments, storage compatibility, ventilation, spill response, waste controls and medical surveillance shall be established as applicable. Local environmental and occupational health requirements shall be integrated into project plans.</w:t>
            </w:r>
          </w:p>
        </w:tc>
        <w:tc>
          <w:tcPr>
            <w:tcW w:w="1134" w:type="dxa"/>
          </w:tcPr>
          <w:p w14:paraId="61B02BBA" w14:textId="78858E64" w:rsidR="00CC5653" w:rsidRPr="003C4ED1" w:rsidRDefault="00112287" w:rsidP="00643246">
            <w:pPr>
              <w:rPr>
                <w:rFonts w:asciiTheme="minorHAnsi" w:hAnsiTheme="minorHAnsi" w:cstheme="minorHAnsi"/>
                <w:sz w:val="24"/>
                <w:szCs w:val="24"/>
              </w:rPr>
            </w:pPr>
            <w:r>
              <w:rPr>
                <w:rFonts w:asciiTheme="minorHAnsi" w:hAnsiTheme="minorHAnsi" w:cstheme="minorHAnsi"/>
                <w:sz w:val="24"/>
                <w:szCs w:val="24"/>
              </w:rPr>
              <w:t>SHO</w:t>
            </w:r>
            <w:r w:rsidRPr="003C4ED1">
              <w:rPr>
                <w:rFonts w:asciiTheme="minorHAnsi" w:hAnsiTheme="minorHAnsi" w:cstheme="minorHAnsi"/>
                <w:sz w:val="24"/>
                <w:szCs w:val="24"/>
              </w:rPr>
              <w:t xml:space="preserve"> / PM / Store</w:t>
            </w:r>
          </w:p>
        </w:tc>
      </w:tr>
    </w:tbl>
    <w:p w14:paraId="1A61D005" w14:textId="77777777" w:rsidR="009F4E52" w:rsidRPr="003C4ED1" w:rsidRDefault="009F4E52" w:rsidP="00643246">
      <w:pPr>
        <w:ind w:left="284"/>
        <w:rPr>
          <w:rFonts w:asciiTheme="minorHAnsi" w:hAnsiTheme="minorHAnsi" w:cstheme="minorHAnsi"/>
          <w:sz w:val="24"/>
          <w:szCs w:val="24"/>
        </w:rPr>
      </w:pPr>
    </w:p>
    <w:tbl>
      <w:tblPr>
        <w:tblStyle w:val="TableGrid"/>
        <w:tblW w:w="9756" w:type="dxa"/>
        <w:tblInd w:w="279" w:type="dxa"/>
        <w:tblLook w:val="04A0" w:firstRow="1" w:lastRow="0" w:firstColumn="1" w:lastColumn="0" w:noHBand="0" w:noVBand="1"/>
      </w:tblPr>
      <w:tblGrid>
        <w:gridCol w:w="841"/>
        <w:gridCol w:w="6010"/>
        <w:gridCol w:w="1087"/>
        <w:gridCol w:w="1818"/>
      </w:tblGrid>
      <w:tr w:rsidR="009F4E52" w:rsidRPr="003C4ED1" w14:paraId="0A66177F" w14:textId="77777777" w:rsidTr="008246B3">
        <w:tc>
          <w:tcPr>
            <w:tcW w:w="841" w:type="dxa"/>
            <w:shd w:val="clear" w:color="auto" w:fill="CCFFFF"/>
          </w:tcPr>
          <w:p w14:paraId="357600F8" w14:textId="77777777" w:rsidR="009F4E52" w:rsidRPr="003C4ED1" w:rsidRDefault="009F4E52" w:rsidP="00643246">
            <w:pPr>
              <w:jc w:val="center"/>
              <w:rPr>
                <w:rFonts w:asciiTheme="minorHAnsi" w:hAnsiTheme="minorHAnsi" w:cstheme="minorHAnsi"/>
                <w:sz w:val="24"/>
                <w:szCs w:val="24"/>
              </w:rPr>
            </w:pPr>
            <w:r w:rsidRPr="003C4ED1">
              <w:rPr>
                <w:rFonts w:asciiTheme="minorHAnsi" w:hAnsiTheme="minorHAnsi" w:cstheme="minorHAnsi"/>
                <w:sz w:val="24"/>
                <w:szCs w:val="24"/>
              </w:rPr>
              <w:t>Step</w:t>
            </w:r>
          </w:p>
        </w:tc>
        <w:tc>
          <w:tcPr>
            <w:tcW w:w="6010" w:type="dxa"/>
            <w:shd w:val="clear" w:color="auto" w:fill="CCFFFF"/>
          </w:tcPr>
          <w:p w14:paraId="0B1009EE" w14:textId="77777777" w:rsidR="009F4E52" w:rsidRPr="003C4ED1" w:rsidRDefault="009F4E52" w:rsidP="00643246">
            <w:pPr>
              <w:jc w:val="center"/>
              <w:rPr>
                <w:rFonts w:asciiTheme="minorHAnsi" w:hAnsiTheme="minorHAnsi" w:cstheme="minorHAnsi"/>
                <w:sz w:val="24"/>
                <w:szCs w:val="24"/>
              </w:rPr>
            </w:pPr>
            <w:r w:rsidRPr="003C4ED1">
              <w:rPr>
                <w:rFonts w:asciiTheme="minorHAnsi" w:hAnsiTheme="minorHAnsi" w:cstheme="minorHAnsi"/>
                <w:sz w:val="24"/>
                <w:szCs w:val="24"/>
              </w:rPr>
              <w:t>Activity</w:t>
            </w:r>
          </w:p>
        </w:tc>
        <w:tc>
          <w:tcPr>
            <w:tcW w:w="1087" w:type="dxa"/>
            <w:shd w:val="clear" w:color="auto" w:fill="CCFFFF"/>
          </w:tcPr>
          <w:p w14:paraId="0159AF27" w14:textId="77777777" w:rsidR="009F4E52" w:rsidRPr="003C4ED1" w:rsidRDefault="00AF36EB" w:rsidP="00643246">
            <w:pPr>
              <w:jc w:val="center"/>
              <w:rPr>
                <w:rFonts w:asciiTheme="minorHAnsi" w:hAnsiTheme="minorHAnsi" w:cstheme="minorHAnsi"/>
                <w:sz w:val="24"/>
                <w:szCs w:val="24"/>
              </w:rPr>
            </w:pPr>
            <w:r w:rsidRPr="003C4ED1">
              <w:rPr>
                <w:rFonts w:asciiTheme="minorHAnsi" w:hAnsiTheme="minorHAnsi" w:cstheme="minorHAnsi"/>
                <w:sz w:val="24"/>
                <w:szCs w:val="24"/>
              </w:rPr>
              <w:t>PIC</w:t>
            </w:r>
          </w:p>
        </w:tc>
        <w:tc>
          <w:tcPr>
            <w:tcW w:w="1818" w:type="dxa"/>
            <w:shd w:val="clear" w:color="auto" w:fill="CCFFFF"/>
          </w:tcPr>
          <w:p w14:paraId="68A12DC7" w14:textId="77777777" w:rsidR="009F4E52" w:rsidRPr="003C4ED1" w:rsidRDefault="00AF36EB" w:rsidP="00643246">
            <w:pPr>
              <w:jc w:val="center"/>
              <w:rPr>
                <w:rFonts w:asciiTheme="minorHAnsi" w:hAnsiTheme="minorHAnsi" w:cstheme="minorHAnsi"/>
                <w:sz w:val="24"/>
                <w:szCs w:val="24"/>
              </w:rPr>
            </w:pPr>
            <w:r w:rsidRPr="003C4ED1">
              <w:rPr>
                <w:rFonts w:asciiTheme="minorHAnsi" w:hAnsiTheme="minorHAnsi" w:cstheme="minorHAnsi"/>
                <w:sz w:val="24"/>
                <w:szCs w:val="24"/>
              </w:rPr>
              <w:t xml:space="preserve">Cross </w:t>
            </w:r>
            <w:r w:rsidR="009F4E52" w:rsidRPr="003C4ED1">
              <w:rPr>
                <w:rFonts w:asciiTheme="minorHAnsi" w:hAnsiTheme="minorHAnsi" w:cstheme="minorHAnsi"/>
                <w:sz w:val="24"/>
                <w:szCs w:val="24"/>
              </w:rPr>
              <w:t>Reference</w:t>
            </w:r>
          </w:p>
        </w:tc>
      </w:tr>
      <w:tr w:rsidR="006B0884" w:rsidRPr="003C4ED1" w14:paraId="66990B17" w14:textId="77777777" w:rsidTr="008246B3">
        <w:tc>
          <w:tcPr>
            <w:tcW w:w="841" w:type="dxa"/>
          </w:tcPr>
          <w:p w14:paraId="09A006CE" w14:textId="796462EE" w:rsidR="006B0884" w:rsidRPr="003C4ED1" w:rsidRDefault="00A23AB5" w:rsidP="00112287">
            <w:pPr>
              <w:jc w:val="center"/>
              <w:rPr>
                <w:rFonts w:asciiTheme="minorHAnsi" w:hAnsiTheme="minorHAnsi" w:cstheme="minorHAnsi"/>
                <w:sz w:val="24"/>
                <w:szCs w:val="24"/>
              </w:rPr>
            </w:pPr>
            <w:r>
              <w:rPr>
                <w:rFonts w:asciiTheme="minorHAnsi" w:hAnsiTheme="minorHAnsi" w:cstheme="minorHAnsi"/>
                <w:sz w:val="24"/>
                <w:szCs w:val="24"/>
              </w:rPr>
              <w:t>3</w:t>
            </w:r>
          </w:p>
        </w:tc>
        <w:tc>
          <w:tcPr>
            <w:tcW w:w="6010" w:type="dxa"/>
          </w:tcPr>
          <w:p w14:paraId="5B31D1FE"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Internal Issues - SWOT Methodology</w:t>
            </w:r>
          </w:p>
          <w:p w14:paraId="52657EF7"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The Company shall use SWOT analysis to determine internal matters that can support or hinder the intended outcomes of the OHSMS. Strengths are existing capabilities, resources, experience or cultural characteristics that improve occupational health and safety performance. Weaknesses are internal limitations, gaps or inconsistencies that can increase risk or reduce the effectiveness of controls. Opportunities are practical improvements that the Company can pursue through investment, innovation, competence development or process integration. Threats are internal vulnerabilities or foreseeable business conditions that could adversely affect workers, legal compliance or OHSMS performance if they are not managed.</w:t>
            </w:r>
          </w:p>
          <w:p w14:paraId="2151F037" w14:textId="77777777" w:rsidR="00643246" w:rsidRPr="003C4ED1" w:rsidRDefault="00643246" w:rsidP="00643246">
            <w:pPr>
              <w:rPr>
                <w:rFonts w:asciiTheme="minorHAnsi" w:hAnsiTheme="minorHAnsi" w:cstheme="minorHAnsi"/>
                <w:sz w:val="24"/>
                <w:szCs w:val="24"/>
              </w:rPr>
            </w:pPr>
          </w:p>
        </w:tc>
        <w:tc>
          <w:tcPr>
            <w:tcW w:w="1087" w:type="dxa"/>
          </w:tcPr>
          <w:p w14:paraId="5F7939E2"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sz w:val="24"/>
                <w:szCs w:val="24"/>
              </w:rPr>
              <w:t>IM</w:t>
            </w:r>
          </w:p>
        </w:tc>
        <w:tc>
          <w:tcPr>
            <w:tcW w:w="1818" w:type="dxa"/>
          </w:tcPr>
          <w:p w14:paraId="48AE6D0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OHSMS-04B</w:t>
            </w:r>
            <w:r w:rsidRPr="003C4ED1">
              <w:rPr>
                <w:rFonts w:asciiTheme="minorHAnsi" w:hAnsiTheme="minorHAnsi" w:cstheme="minorHAnsi"/>
                <w:sz w:val="24"/>
                <w:szCs w:val="24"/>
              </w:rPr>
              <w:br/>
              <w:t>OHSMS-06J</w:t>
            </w:r>
          </w:p>
        </w:tc>
      </w:tr>
      <w:tr w:rsidR="006B0884" w:rsidRPr="003C4ED1" w14:paraId="30248288" w14:textId="77777777" w:rsidTr="008246B3">
        <w:tc>
          <w:tcPr>
            <w:tcW w:w="841" w:type="dxa"/>
            <w:tcBorders>
              <w:bottom w:val="single" w:sz="4" w:space="0" w:color="auto"/>
            </w:tcBorders>
          </w:tcPr>
          <w:p w14:paraId="006D291A" w14:textId="1B342F76" w:rsidR="006B0884" w:rsidRPr="003C4ED1" w:rsidRDefault="00A23AB5" w:rsidP="00A23AB5">
            <w:pPr>
              <w:jc w:val="center"/>
              <w:rPr>
                <w:rFonts w:asciiTheme="minorHAnsi" w:hAnsiTheme="minorHAnsi" w:cstheme="minorHAnsi"/>
                <w:sz w:val="24"/>
                <w:szCs w:val="24"/>
              </w:rPr>
            </w:pPr>
            <w:r>
              <w:rPr>
                <w:rFonts w:asciiTheme="minorHAnsi" w:hAnsiTheme="minorHAnsi" w:cstheme="minorHAnsi"/>
                <w:sz w:val="24"/>
                <w:szCs w:val="24"/>
              </w:rPr>
              <w:t>4</w:t>
            </w:r>
          </w:p>
        </w:tc>
        <w:tc>
          <w:tcPr>
            <w:tcW w:w="6010" w:type="dxa"/>
            <w:tcBorders>
              <w:bottom w:val="single" w:sz="4" w:space="0" w:color="auto"/>
            </w:tcBorders>
          </w:tcPr>
          <w:p w14:paraId="066A76B4"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Internal issues shall be reviewed using evidence from incidents, near misses, HIRARC, worker consultation, competency assessments, inspections, audits, compliance evaluations, tender and project reviews, absenteeism, occupational health information and management review. The assessment shall consider corporate governance, leadership, organisational structure, resources, competence, culture, communication, knowledge, technology, contractor control and operational performance. Significant matters shall be assigned to </w:t>
            </w:r>
            <w:proofErr w:type="gramStart"/>
            <w:r w:rsidRPr="003C4ED1">
              <w:rPr>
                <w:rFonts w:asciiTheme="minorHAnsi" w:hAnsiTheme="minorHAnsi" w:cstheme="minorHAnsi"/>
                <w:sz w:val="24"/>
                <w:szCs w:val="24"/>
              </w:rPr>
              <w:t>a responsible</w:t>
            </w:r>
            <w:proofErr w:type="gramEnd"/>
            <w:r w:rsidRPr="003C4ED1">
              <w:rPr>
                <w:rFonts w:asciiTheme="minorHAnsi" w:hAnsiTheme="minorHAnsi" w:cstheme="minorHAnsi"/>
                <w:sz w:val="24"/>
                <w:szCs w:val="24"/>
              </w:rPr>
              <w:t xml:space="preserve"> owner with appropriate controls, objectives or improvement actions.</w:t>
            </w:r>
          </w:p>
          <w:p w14:paraId="76CE85C9" w14:textId="77777777" w:rsidR="00643246" w:rsidRPr="003C4ED1" w:rsidRDefault="00643246" w:rsidP="00643246">
            <w:pPr>
              <w:rPr>
                <w:rFonts w:asciiTheme="minorHAnsi" w:hAnsiTheme="minorHAnsi" w:cstheme="minorHAnsi"/>
                <w:sz w:val="24"/>
                <w:szCs w:val="24"/>
              </w:rPr>
            </w:pPr>
          </w:p>
        </w:tc>
        <w:tc>
          <w:tcPr>
            <w:tcW w:w="1087" w:type="dxa"/>
            <w:tcBorders>
              <w:bottom w:val="single" w:sz="4" w:space="0" w:color="auto"/>
            </w:tcBorders>
          </w:tcPr>
          <w:p w14:paraId="6BEF6AD3" w14:textId="44D4264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sz w:val="24"/>
                <w:szCs w:val="24"/>
              </w:rPr>
              <w:t xml:space="preserve">IM /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 Process Owners</w:t>
            </w:r>
          </w:p>
        </w:tc>
        <w:tc>
          <w:tcPr>
            <w:tcW w:w="1818" w:type="dxa"/>
            <w:tcBorders>
              <w:bottom w:val="single" w:sz="4" w:space="0" w:color="auto"/>
            </w:tcBorders>
          </w:tcPr>
          <w:p w14:paraId="5AE2214E"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OHSMS-05I</w:t>
            </w:r>
            <w:r w:rsidRPr="003C4ED1">
              <w:rPr>
                <w:rFonts w:asciiTheme="minorHAnsi" w:hAnsiTheme="minorHAnsi" w:cstheme="minorHAnsi"/>
                <w:sz w:val="24"/>
                <w:szCs w:val="24"/>
              </w:rPr>
              <w:br/>
              <w:t>OHSMS-09S</w:t>
            </w:r>
            <w:r w:rsidRPr="003C4ED1">
              <w:rPr>
                <w:rFonts w:asciiTheme="minorHAnsi" w:hAnsiTheme="minorHAnsi" w:cstheme="minorHAnsi"/>
                <w:sz w:val="24"/>
                <w:szCs w:val="24"/>
              </w:rPr>
              <w:br/>
              <w:t>OHSMS-09U</w:t>
            </w:r>
          </w:p>
        </w:tc>
      </w:tr>
      <w:tr w:rsidR="008246B3" w:rsidRPr="003C4ED1" w14:paraId="49514848" w14:textId="77777777" w:rsidTr="008246B3">
        <w:tc>
          <w:tcPr>
            <w:tcW w:w="841" w:type="dxa"/>
            <w:tcBorders>
              <w:top w:val="single" w:sz="4" w:space="0" w:color="auto"/>
              <w:left w:val="nil"/>
              <w:bottom w:val="nil"/>
              <w:right w:val="nil"/>
            </w:tcBorders>
          </w:tcPr>
          <w:p w14:paraId="066E4878" w14:textId="77777777" w:rsidR="008246B3" w:rsidRDefault="008246B3" w:rsidP="00643246">
            <w:pPr>
              <w:rPr>
                <w:rFonts w:asciiTheme="minorHAnsi" w:hAnsiTheme="minorHAnsi" w:cstheme="minorHAnsi"/>
                <w:sz w:val="24"/>
                <w:szCs w:val="24"/>
              </w:rPr>
            </w:pPr>
          </w:p>
          <w:p w14:paraId="67F6E9EF" w14:textId="77777777" w:rsidR="008246B3" w:rsidRPr="003C4ED1" w:rsidRDefault="008246B3" w:rsidP="00643246">
            <w:pPr>
              <w:rPr>
                <w:rFonts w:asciiTheme="minorHAnsi" w:hAnsiTheme="minorHAnsi" w:cstheme="minorHAnsi"/>
                <w:sz w:val="24"/>
                <w:szCs w:val="24"/>
              </w:rPr>
            </w:pPr>
          </w:p>
        </w:tc>
        <w:tc>
          <w:tcPr>
            <w:tcW w:w="6010" w:type="dxa"/>
            <w:tcBorders>
              <w:top w:val="single" w:sz="4" w:space="0" w:color="auto"/>
              <w:left w:val="nil"/>
              <w:bottom w:val="nil"/>
              <w:right w:val="nil"/>
            </w:tcBorders>
          </w:tcPr>
          <w:p w14:paraId="06795AD5" w14:textId="77777777" w:rsidR="008246B3" w:rsidRPr="003C4ED1" w:rsidRDefault="008246B3" w:rsidP="00643246">
            <w:pPr>
              <w:rPr>
                <w:rFonts w:asciiTheme="minorHAnsi" w:hAnsiTheme="minorHAnsi" w:cstheme="minorHAnsi"/>
                <w:sz w:val="24"/>
                <w:szCs w:val="24"/>
              </w:rPr>
            </w:pPr>
          </w:p>
        </w:tc>
        <w:tc>
          <w:tcPr>
            <w:tcW w:w="1087" w:type="dxa"/>
            <w:tcBorders>
              <w:top w:val="single" w:sz="4" w:space="0" w:color="auto"/>
              <w:left w:val="nil"/>
              <w:bottom w:val="nil"/>
              <w:right w:val="nil"/>
            </w:tcBorders>
          </w:tcPr>
          <w:p w14:paraId="789E4B28" w14:textId="77777777" w:rsidR="008246B3" w:rsidRPr="003C4ED1" w:rsidRDefault="008246B3" w:rsidP="00643246">
            <w:pPr>
              <w:jc w:val="center"/>
              <w:rPr>
                <w:rFonts w:asciiTheme="minorHAnsi" w:hAnsiTheme="minorHAnsi" w:cstheme="minorHAnsi"/>
                <w:sz w:val="24"/>
                <w:szCs w:val="24"/>
              </w:rPr>
            </w:pPr>
          </w:p>
        </w:tc>
        <w:tc>
          <w:tcPr>
            <w:tcW w:w="1818" w:type="dxa"/>
            <w:tcBorders>
              <w:top w:val="single" w:sz="4" w:space="0" w:color="auto"/>
              <w:left w:val="nil"/>
              <w:bottom w:val="nil"/>
              <w:right w:val="nil"/>
            </w:tcBorders>
          </w:tcPr>
          <w:p w14:paraId="6BB63D0F" w14:textId="77777777" w:rsidR="008246B3" w:rsidRPr="003C4ED1" w:rsidRDefault="008246B3" w:rsidP="00643246">
            <w:pPr>
              <w:rPr>
                <w:rFonts w:asciiTheme="minorHAnsi" w:hAnsiTheme="minorHAnsi" w:cstheme="minorHAnsi"/>
                <w:sz w:val="24"/>
                <w:szCs w:val="24"/>
              </w:rPr>
            </w:pPr>
          </w:p>
        </w:tc>
      </w:tr>
    </w:tbl>
    <w:tbl>
      <w:tblPr>
        <w:tblStyle w:val="TableGrid"/>
        <w:tblW w:w="9740" w:type="dxa"/>
        <w:tblInd w:w="279" w:type="dxa"/>
        <w:tblLayout w:type="fixed"/>
        <w:tblLook w:val="04A0" w:firstRow="1" w:lastRow="0" w:firstColumn="1" w:lastColumn="0" w:noHBand="0" w:noVBand="1"/>
      </w:tblPr>
      <w:tblGrid>
        <w:gridCol w:w="2520"/>
        <w:gridCol w:w="2725"/>
        <w:gridCol w:w="3402"/>
        <w:gridCol w:w="1083"/>
        <w:gridCol w:w="10"/>
      </w:tblGrid>
      <w:tr w:rsidR="00CC5653" w:rsidRPr="003C4ED1" w14:paraId="0743F178" w14:textId="77777777" w:rsidTr="008246B3">
        <w:trPr>
          <w:gridAfter w:val="1"/>
          <w:wAfter w:w="10" w:type="dxa"/>
          <w:tblHeader/>
        </w:trPr>
        <w:tc>
          <w:tcPr>
            <w:tcW w:w="2520" w:type="dxa"/>
            <w:shd w:val="clear" w:color="auto" w:fill="C6F4F1"/>
          </w:tcPr>
          <w:p w14:paraId="03B0630B"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lastRenderedPageBreak/>
              <w:t>Internal Issues</w:t>
            </w:r>
          </w:p>
        </w:tc>
        <w:tc>
          <w:tcPr>
            <w:tcW w:w="2725" w:type="dxa"/>
            <w:shd w:val="clear" w:color="auto" w:fill="C6F4F1"/>
          </w:tcPr>
          <w:p w14:paraId="20D442FD"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t>Risk Impact</w:t>
            </w:r>
          </w:p>
        </w:tc>
        <w:tc>
          <w:tcPr>
            <w:tcW w:w="3402" w:type="dxa"/>
            <w:shd w:val="clear" w:color="auto" w:fill="C6F4F1"/>
          </w:tcPr>
          <w:p w14:paraId="0A1A9AE9"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t>Control Measures</w:t>
            </w:r>
          </w:p>
        </w:tc>
        <w:tc>
          <w:tcPr>
            <w:tcW w:w="1083" w:type="dxa"/>
            <w:shd w:val="clear" w:color="auto" w:fill="C6F4F1"/>
          </w:tcPr>
          <w:p w14:paraId="39B59C8F" w14:textId="77777777" w:rsidR="00CC5653" w:rsidRPr="003C4ED1" w:rsidRDefault="00000000" w:rsidP="00643246">
            <w:pPr>
              <w:jc w:val="center"/>
              <w:rPr>
                <w:rFonts w:asciiTheme="minorHAnsi" w:hAnsiTheme="minorHAnsi" w:cstheme="minorHAnsi"/>
                <w:sz w:val="24"/>
                <w:szCs w:val="24"/>
              </w:rPr>
            </w:pPr>
            <w:r w:rsidRPr="003C4ED1">
              <w:rPr>
                <w:rFonts w:asciiTheme="minorHAnsi" w:hAnsiTheme="minorHAnsi" w:cstheme="minorHAnsi"/>
                <w:b/>
                <w:sz w:val="24"/>
                <w:szCs w:val="24"/>
              </w:rPr>
              <w:t>PIC</w:t>
            </w:r>
          </w:p>
        </w:tc>
      </w:tr>
      <w:tr w:rsidR="00CC5653" w:rsidRPr="003C4ED1" w14:paraId="305A45DE" w14:textId="77777777" w:rsidTr="008246B3">
        <w:tc>
          <w:tcPr>
            <w:tcW w:w="9740" w:type="dxa"/>
            <w:gridSpan w:val="5"/>
            <w:shd w:val="clear" w:color="auto" w:fill="E8F0D8"/>
          </w:tcPr>
          <w:p w14:paraId="54934210"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Strengths Considerations</w:t>
            </w:r>
          </w:p>
        </w:tc>
      </w:tr>
      <w:tr w:rsidR="00CC5653" w:rsidRPr="003C4ED1" w14:paraId="12D8925D" w14:textId="77777777" w:rsidTr="008246B3">
        <w:trPr>
          <w:gridAfter w:val="1"/>
          <w:wAfter w:w="10" w:type="dxa"/>
          <w:cantSplit/>
        </w:trPr>
        <w:tc>
          <w:tcPr>
            <w:tcW w:w="2520" w:type="dxa"/>
          </w:tcPr>
          <w:p w14:paraId="09F68B43"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The Company has extensive multidisciplinary experience in complex M&amp;E engineering and contracting including 132 kV substations, 33/11 kV systems, industrial plants, manufacturing facilities and data </w:t>
            </w:r>
            <w:proofErr w:type="spellStart"/>
            <w:r w:rsidRPr="003C4ED1">
              <w:rPr>
                <w:rFonts w:asciiTheme="minorHAnsi" w:hAnsiTheme="minorHAnsi" w:cstheme="minorHAnsi"/>
                <w:sz w:val="24"/>
                <w:szCs w:val="24"/>
              </w:rPr>
              <w:t>centres</w:t>
            </w:r>
            <w:proofErr w:type="spellEnd"/>
            <w:r w:rsidRPr="003C4ED1">
              <w:rPr>
                <w:rFonts w:asciiTheme="minorHAnsi" w:hAnsiTheme="minorHAnsi" w:cstheme="minorHAnsi"/>
                <w:sz w:val="24"/>
                <w:szCs w:val="24"/>
              </w:rPr>
              <w:t>.</w:t>
            </w:r>
          </w:p>
          <w:p w14:paraId="12371843" w14:textId="77777777" w:rsidR="00643246" w:rsidRPr="003C4ED1" w:rsidRDefault="00643246" w:rsidP="00643246">
            <w:pPr>
              <w:rPr>
                <w:rFonts w:asciiTheme="minorHAnsi" w:hAnsiTheme="minorHAnsi" w:cstheme="minorHAnsi"/>
                <w:sz w:val="24"/>
                <w:szCs w:val="24"/>
              </w:rPr>
            </w:pPr>
          </w:p>
        </w:tc>
        <w:tc>
          <w:tcPr>
            <w:tcW w:w="2725" w:type="dxa"/>
          </w:tcPr>
          <w:p w14:paraId="66AA882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Complex experience supports reliable hazard recognition and technical </w:t>
            </w:r>
            <w:proofErr w:type="gramStart"/>
            <w:r w:rsidRPr="003C4ED1">
              <w:rPr>
                <w:rFonts w:asciiTheme="minorHAnsi" w:hAnsiTheme="minorHAnsi" w:cstheme="minorHAnsi"/>
                <w:sz w:val="24"/>
                <w:szCs w:val="24"/>
              </w:rPr>
              <w:t>decision-making</w:t>
            </w:r>
            <w:proofErr w:type="gramEnd"/>
            <w:r w:rsidRPr="003C4ED1">
              <w:rPr>
                <w:rFonts w:asciiTheme="minorHAnsi" w:hAnsiTheme="minorHAnsi" w:cstheme="minorHAnsi"/>
                <w:sz w:val="24"/>
                <w:szCs w:val="24"/>
              </w:rPr>
              <w:t xml:space="preserve"> but knowledge can be lost if it remains concentrated in a small number of senior personnel.</w:t>
            </w:r>
          </w:p>
        </w:tc>
        <w:tc>
          <w:tcPr>
            <w:tcW w:w="3402" w:type="dxa"/>
          </w:tcPr>
          <w:p w14:paraId="3736E4EA" w14:textId="75C121AA"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The Company shall capture lessons, standardise critical controls, maintain technical authorities and mentoring arrangements and ensure that project teams have access to current engineering and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knowledge.</w:t>
            </w:r>
          </w:p>
        </w:tc>
        <w:tc>
          <w:tcPr>
            <w:tcW w:w="1083" w:type="dxa"/>
          </w:tcPr>
          <w:p w14:paraId="4FF8B22F" w14:textId="562D382E"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ED /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 PM</w:t>
            </w:r>
          </w:p>
        </w:tc>
      </w:tr>
      <w:tr w:rsidR="00CC5653" w:rsidRPr="003C4ED1" w14:paraId="68382155" w14:textId="77777777" w:rsidTr="008246B3">
        <w:trPr>
          <w:gridAfter w:val="1"/>
          <w:wAfter w:w="10" w:type="dxa"/>
          <w:cantSplit/>
        </w:trPr>
        <w:tc>
          <w:tcPr>
            <w:tcW w:w="2520" w:type="dxa"/>
          </w:tcPr>
          <w:p w14:paraId="1973B2B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As a Bursa Malaysia Main Market listed </w:t>
            </w:r>
            <w:proofErr w:type="gramStart"/>
            <w:r w:rsidRPr="003C4ED1">
              <w:rPr>
                <w:rFonts w:asciiTheme="minorHAnsi" w:hAnsiTheme="minorHAnsi" w:cstheme="minorHAnsi"/>
                <w:sz w:val="24"/>
                <w:szCs w:val="24"/>
              </w:rPr>
              <w:t>organisation</w:t>
            </w:r>
            <w:proofErr w:type="gramEnd"/>
            <w:r w:rsidRPr="003C4ED1">
              <w:rPr>
                <w:rFonts w:asciiTheme="minorHAnsi" w:hAnsiTheme="minorHAnsi" w:cstheme="minorHAnsi"/>
                <w:sz w:val="24"/>
                <w:szCs w:val="24"/>
              </w:rPr>
              <w:t xml:space="preserve"> the Company has established governance, board oversight, structured reporting and access to corporate resources.</w:t>
            </w:r>
          </w:p>
        </w:tc>
        <w:tc>
          <w:tcPr>
            <w:tcW w:w="2725" w:type="dxa"/>
          </w:tcPr>
          <w:p w14:paraId="5F7B066A"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Strong governance can support OHSMS accountability and investment but excessive reliance on corporate reporting may obscure workface conditions if leading indicators are weak.</w:t>
            </w:r>
          </w:p>
          <w:p w14:paraId="069C8B93" w14:textId="77777777" w:rsidR="00643246" w:rsidRPr="003C4ED1" w:rsidRDefault="00643246" w:rsidP="00643246">
            <w:pPr>
              <w:rPr>
                <w:rFonts w:asciiTheme="minorHAnsi" w:hAnsiTheme="minorHAnsi" w:cstheme="minorHAnsi"/>
                <w:sz w:val="24"/>
                <w:szCs w:val="24"/>
              </w:rPr>
            </w:pPr>
          </w:p>
        </w:tc>
        <w:tc>
          <w:tcPr>
            <w:tcW w:w="3402" w:type="dxa"/>
          </w:tcPr>
          <w:p w14:paraId="3EA33F80"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Board and management reporting shall combine lagging results with critical-control verification, worker concerns, high-potential events, legal compliance and overdue actions. Management shall verify conditions through site engagement and assurance reviews.</w:t>
            </w:r>
          </w:p>
        </w:tc>
        <w:tc>
          <w:tcPr>
            <w:tcW w:w="1083" w:type="dxa"/>
          </w:tcPr>
          <w:p w14:paraId="17C7D4B7" w14:textId="3620F0F4"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MD / Board / </w:t>
            </w:r>
            <w:r w:rsidR="00112287">
              <w:rPr>
                <w:rFonts w:asciiTheme="minorHAnsi" w:hAnsiTheme="minorHAnsi" w:cstheme="minorHAnsi"/>
                <w:sz w:val="24"/>
                <w:szCs w:val="24"/>
              </w:rPr>
              <w:t>SHO</w:t>
            </w:r>
          </w:p>
        </w:tc>
      </w:tr>
      <w:tr w:rsidR="00CC5653" w:rsidRPr="003C4ED1" w14:paraId="53480518" w14:textId="77777777" w:rsidTr="008246B3">
        <w:trPr>
          <w:gridAfter w:val="1"/>
          <w:wAfter w:w="10" w:type="dxa"/>
          <w:cantSplit/>
        </w:trPr>
        <w:tc>
          <w:tcPr>
            <w:tcW w:w="2520" w:type="dxa"/>
          </w:tcPr>
          <w:p w14:paraId="4C63A43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The Company employs or engages competent engineers, chargemen, wiremen, safety and health personnel and specialist subcontractors for regulated and high-risk work.</w:t>
            </w:r>
          </w:p>
        </w:tc>
        <w:tc>
          <w:tcPr>
            <w:tcW w:w="2725" w:type="dxa"/>
          </w:tcPr>
          <w:p w14:paraId="7F8BF213"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Competent personnel strengthen </w:t>
            </w:r>
            <w:proofErr w:type="gramStart"/>
            <w:r w:rsidRPr="003C4ED1">
              <w:rPr>
                <w:rFonts w:asciiTheme="minorHAnsi" w:hAnsiTheme="minorHAnsi" w:cstheme="minorHAnsi"/>
                <w:sz w:val="24"/>
                <w:szCs w:val="24"/>
              </w:rPr>
              <w:t>control</w:t>
            </w:r>
            <w:proofErr w:type="gramEnd"/>
            <w:r w:rsidRPr="003C4ED1">
              <w:rPr>
                <w:rFonts w:asciiTheme="minorHAnsi" w:hAnsiTheme="minorHAnsi" w:cstheme="minorHAnsi"/>
                <w:sz w:val="24"/>
                <w:szCs w:val="24"/>
              </w:rPr>
              <w:t xml:space="preserve"> but shortages, competing assignments or expired registrations can leave projects without adequate technical authority or supervision.</w:t>
            </w:r>
          </w:p>
          <w:p w14:paraId="259F2F11" w14:textId="77777777" w:rsidR="00643246" w:rsidRPr="003C4ED1" w:rsidRDefault="00643246" w:rsidP="00643246">
            <w:pPr>
              <w:rPr>
                <w:rFonts w:asciiTheme="minorHAnsi" w:hAnsiTheme="minorHAnsi" w:cstheme="minorHAnsi"/>
                <w:sz w:val="24"/>
                <w:szCs w:val="24"/>
              </w:rPr>
            </w:pPr>
          </w:p>
        </w:tc>
        <w:tc>
          <w:tcPr>
            <w:tcW w:w="3402" w:type="dxa"/>
          </w:tcPr>
          <w:p w14:paraId="66DD6049"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A central competency and appointment register shall track qualifications, experience, authorisations, deployment and expiry dates. Mobilisation shall be prohibited when mandatory competency or supervision is unavailable.</w:t>
            </w:r>
          </w:p>
        </w:tc>
        <w:tc>
          <w:tcPr>
            <w:tcW w:w="1083" w:type="dxa"/>
          </w:tcPr>
          <w:p w14:paraId="55C3CACD" w14:textId="2FB93670"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HRM / EM / </w:t>
            </w:r>
            <w:r w:rsidR="00112287">
              <w:rPr>
                <w:rFonts w:asciiTheme="minorHAnsi" w:hAnsiTheme="minorHAnsi" w:cstheme="minorHAnsi"/>
                <w:sz w:val="24"/>
                <w:szCs w:val="24"/>
              </w:rPr>
              <w:t>SHO</w:t>
            </w:r>
          </w:p>
        </w:tc>
      </w:tr>
      <w:tr w:rsidR="00CC5653" w:rsidRPr="003C4ED1" w14:paraId="2DFF1732" w14:textId="77777777" w:rsidTr="008246B3">
        <w:tc>
          <w:tcPr>
            <w:tcW w:w="9740" w:type="dxa"/>
            <w:gridSpan w:val="5"/>
            <w:shd w:val="clear" w:color="auto" w:fill="E8F0D8"/>
          </w:tcPr>
          <w:p w14:paraId="0CF855C5"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Weaknesses Considerations</w:t>
            </w:r>
          </w:p>
        </w:tc>
      </w:tr>
      <w:tr w:rsidR="00CC5653" w:rsidRPr="003C4ED1" w14:paraId="08F336BF" w14:textId="77777777" w:rsidTr="008246B3">
        <w:trPr>
          <w:gridAfter w:val="1"/>
          <w:wAfter w:w="10" w:type="dxa"/>
          <w:cantSplit/>
        </w:trPr>
        <w:tc>
          <w:tcPr>
            <w:tcW w:w="2520" w:type="dxa"/>
          </w:tcPr>
          <w:p w14:paraId="2E29AE95"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Operations are dispersed across multiple projects, sectors, client systems and overseas locations with different levels of maturity and supervision.</w:t>
            </w:r>
          </w:p>
        </w:tc>
        <w:tc>
          <w:tcPr>
            <w:tcW w:w="2725" w:type="dxa"/>
          </w:tcPr>
          <w:p w14:paraId="4F3D4D00"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Inconsistent application of corporate procedures can lead to varying standards for HIRARC, permit-to-work, LOTO, lifting, incident reporting and contractor control.</w:t>
            </w:r>
          </w:p>
          <w:p w14:paraId="101B66AB" w14:textId="77777777" w:rsidR="00643246" w:rsidRPr="003C4ED1" w:rsidRDefault="00643246" w:rsidP="00643246">
            <w:pPr>
              <w:rPr>
                <w:rFonts w:asciiTheme="minorHAnsi" w:hAnsiTheme="minorHAnsi" w:cstheme="minorHAnsi"/>
                <w:sz w:val="24"/>
                <w:szCs w:val="24"/>
              </w:rPr>
            </w:pPr>
          </w:p>
        </w:tc>
        <w:tc>
          <w:tcPr>
            <w:tcW w:w="3402" w:type="dxa"/>
          </w:tcPr>
          <w:p w14:paraId="063E6E1D"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The Company shall define non-negotiable critical controls, conduct risk-based project assurance, provide standard templates and verify implementation through inspections, audits, management visits and performance reviews.</w:t>
            </w:r>
          </w:p>
        </w:tc>
        <w:tc>
          <w:tcPr>
            <w:tcW w:w="1083" w:type="dxa"/>
          </w:tcPr>
          <w:p w14:paraId="241306A9" w14:textId="59FDEF6E"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PD /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 IM</w:t>
            </w:r>
          </w:p>
        </w:tc>
      </w:tr>
      <w:tr w:rsidR="00CC5653" w:rsidRPr="003C4ED1" w14:paraId="3E75E7C4" w14:textId="77777777" w:rsidTr="008246B3">
        <w:trPr>
          <w:gridAfter w:val="1"/>
          <w:wAfter w:w="10" w:type="dxa"/>
          <w:cantSplit/>
        </w:trPr>
        <w:tc>
          <w:tcPr>
            <w:tcW w:w="2520" w:type="dxa"/>
          </w:tcPr>
          <w:p w14:paraId="7587FD73"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lastRenderedPageBreak/>
              <w:t>Project delivery can depend heavily on subcontractors and labour supplied through several tiers.</w:t>
            </w:r>
          </w:p>
        </w:tc>
        <w:tc>
          <w:tcPr>
            <w:tcW w:w="2725" w:type="dxa"/>
          </w:tcPr>
          <w:p w14:paraId="431C72DF"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Limited visibility of lower-tier competency, equipment condition and employment practices can create unsafe acts, poor reporting, fatigue or noncompliance.</w:t>
            </w:r>
          </w:p>
          <w:p w14:paraId="7D130A3A" w14:textId="77777777" w:rsidR="00643246" w:rsidRPr="003C4ED1" w:rsidRDefault="00643246" w:rsidP="00643246">
            <w:pPr>
              <w:rPr>
                <w:rFonts w:asciiTheme="minorHAnsi" w:hAnsiTheme="minorHAnsi" w:cstheme="minorHAnsi"/>
                <w:sz w:val="24"/>
                <w:szCs w:val="24"/>
              </w:rPr>
            </w:pPr>
          </w:p>
        </w:tc>
        <w:tc>
          <w:tcPr>
            <w:tcW w:w="3402" w:type="dxa"/>
          </w:tcPr>
          <w:p w14:paraId="5E7C512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Prequalification shall extend to safety capability, legal status, past performance and proposed resources. Contracts shall prohibit unauthorised subcontracting. Site supervision, induction, competency verification and periodic evaluation shall cover every tier.</w:t>
            </w:r>
          </w:p>
        </w:tc>
        <w:tc>
          <w:tcPr>
            <w:tcW w:w="1083" w:type="dxa"/>
          </w:tcPr>
          <w:p w14:paraId="6242F9C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CM / PM / SHO</w:t>
            </w:r>
          </w:p>
        </w:tc>
      </w:tr>
      <w:tr w:rsidR="00CC5653" w:rsidRPr="003C4ED1" w14:paraId="16337275" w14:textId="77777777" w:rsidTr="008246B3">
        <w:trPr>
          <w:gridAfter w:val="1"/>
          <w:wAfter w:w="10" w:type="dxa"/>
          <w:cantSplit/>
        </w:trPr>
        <w:tc>
          <w:tcPr>
            <w:tcW w:w="2520" w:type="dxa"/>
          </w:tcPr>
          <w:p w14:paraId="4C49302E"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Commercial pressure, variations, delayed approvals and recovery programmes can create long working hours and overlapping activities.</w:t>
            </w:r>
          </w:p>
        </w:tc>
        <w:tc>
          <w:tcPr>
            <w:tcW w:w="2725" w:type="dxa"/>
          </w:tcPr>
          <w:p w14:paraId="19F26318"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Fatigue, reduced attention, congestion and rushed decisions can increase electrical switching errors, dropped objects, vehicle incidents and poor-quality risk assessment.</w:t>
            </w:r>
          </w:p>
          <w:p w14:paraId="2ECA36B8" w14:textId="77777777" w:rsidR="00643246" w:rsidRPr="003C4ED1" w:rsidRDefault="00643246" w:rsidP="00643246">
            <w:pPr>
              <w:rPr>
                <w:rFonts w:asciiTheme="minorHAnsi" w:hAnsiTheme="minorHAnsi" w:cstheme="minorHAnsi"/>
                <w:sz w:val="24"/>
                <w:szCs w:val="24"/>
              </w:rPr>
            </w:pPr>
          </w:p>
        </w:tc>
        <w:tc>
          <w:tcPr>
            <w:tcW w:w="3402" w:type="dxa"/>
          </w:tcPr>
          <w:p w14:paraId="1EA1FACD"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Project change and recovery plans shall assess fatigue and simultaneous operations. Working hours, rest, supervision and </w:t>
            </w:r>
            <w:proofErr w:type="gramStart"/>
            <w:r w:rsidRPr="003C4ED1">
              <w:rPr>
                <w:rFonts w:asciiTheme="minorHAnsi" w:hAnsiTheme="minorHAnsi" w:cstheme="minorHAnsi"/>
                <w:sz w:val="24"/>
                <w:szCs w:val="24"/>
              </w:rPr>
              <w:t>sequencing</w:t>
            </w:r>
            <w:proofErr w:type="gramEnd"/>
            <w:r w:rsidRPr="003C4ED1">
              <w:rPr>
                <w:rFonts w:asciiTheme="minorHAnsi" w:hAnsiTheme="minorHAnsi" w:cstheme="minorHAnsi"/>
                <w:sz w:val="24"/>
                <w:szCs w:val="24"/>
              </w:rPr>
              <w:t xml:space="preserve"> shall be controlled. Safety-critical hold points shall not be removed solely to recover time or cost.</w:t>
            </w:r>
          </w:p>
        </w:tc>
        <w:tc>
          <w:tcPr>
            <w:tcW w:w="1083" w:type="dxa"/>
          </w:tcPr>
          <w:p w14:paraId="471F48AA"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PD / PM / HRM</w:t>
            </w:r>
          </w:p>
        </w:tc>
      </w:tr>
      <w:tr w:rsidR="00CC5653" w:rsidRPr="003C4ED1" w14:paraId="6D191657" w14:textId="77777777" w:rsidTr="008246B3">
        <w:tc>
          <w:tcPr>
            <w:tcW w:w="9740" w:type="dxa"/>
            <w:gridSpan w:val="5"/>
            <w:shd w:val="clear" w:color="auto" w:fill="E8F0D8"/>
          </w:tcPr>
          <w:p w14:paraId="4EBABE08"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t>Opportunities Considerations</w:t>
            </w:r>
          </w:p>
        </w:tc>
      </w:tr>
      <w:tr w:rsidR="00CC5653" w:rsidRPr="003C4ED1" w14:paraId="0C3429A3" w14:textId="77777777" w:rsidTr="008246B3">
        <w:trPr>
          <w:gridAfter w:val="1"/>
          <w:wAfter w:w="10" w:type="dxa"/>
          <w:cantSplit/>
        </w:trPr>
        <w:tc>
          <w:tcPr>
            <w:tcW w:w="2520" w:type="dxa"/>
          </w:tcPr>
          <w:p w14:paraId="767AF4D9"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Digital inspection, mobile reporting, building information modelling and central performance dashboards can improve real-time visibility of hazards and corrective actions.</w:t>
            </w:r>
          </w:p>
        </w:tc>
        <w:tc>
          <w:tcPr>
            <w:tcW w:w="2725" w:type="dxa"/>
          </w:tcPr>
          <w:p w14:paraId="0A022E99"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Well-designed systems can strengthen learning and management </w:t>
            </w:r>
            <w:proofErr w:type="gramStart"/>
            <w:r w:rsidRPr="003C4ED1">
              <w:rPr>
                <w:rFonts w:asciiTheme="minorHAnsi" w:hAnsiTheme="minorHAnsi" w:cstheme="minorHAnsi"/>
                <w:sz w:val="24"/>
                <w:szCs w:val="24"/>
              </w:rPr>
              <w:t>response</w:t>
            </w:r>
            <w:proofErr w:type="gramEnd"/>
            <w:r w:rsidRPr="003C4ED1">
              <w:rPr>
                <w:rFonts w:asciiTheme="minorHAnsi" w:hAnsiTheme="minorHAnsi" w:cstheme="minorHAnsi"/>
                <w:sz w:val="24"/>
                <w:szCs w:val="24"/>
              </w:rPr>
              <w:t xml:space="preserve"> but ineffective configuration may produce excessive data without meaningful risk control.</w:t>
            </w:r>
          </w:p>
          <w:p w14:paraId="661022BD" w14:textId="77777777" w:rsidR="00643246" w:rsidRPr="003C4ED1" w:rsidRDefault="00643246" w:rsidP="00643246">
            <w:pPr>
              <w:rPr>
                <w:rFonts w:asciiTheme="minorHAnsi" w:hAnsiTheme="minorHAnsi" w:cstheme="minorHAnsi"/>
                <w:sz w:val="24"/>
                <w:szCs w:val="24"/>
              </w:rPr>
            </w:pPr>
          </w:p>
        </w:tc>
        <w:tc>
          <w:tcPr>
            <w:tcW w:w="3402" w:type="dxa"/>
          </w:tcPr>
          <w:p w14:paraId="14119AE2"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The Company </w:t>
            </w:r>
            <w:proofErr w:type="gramStart"/>
            <w:r w:rsidRPr="003C4ED1">
              <w:rPr>
                <w:rFonts w:asciiTheme="minorHAnsi" w:hAnsiTheme="minorHAnsi" w:cstheme="minorHAnsi"/>
                <w:sz w:val="24"/>
                <w:szCs w:val="24"/>
              </w:rPr>
              <w:t>shall</w:t>
            </w:r>
            <w:proofErr w:type="gramEnd"/>
            <w:r w:rsidRPr="003C4ED1">
              <w:rPr>
                <w:rFonts w:asciiTheme="minorHAnsi" w:hAnsiTheme="minorHAnsi" w:cstheme="minorHAnsi"/>
                <w:sz w:val="24"/>
                <w:szCs w:val="24"/>
              </w:rPr>
              <w:t xml:space="preserve"> prioritise high-potential risk information, use controlled data fields, assign action ownership and verify closure. Digital tools shall be piloted with workers and integrated with site verification and management review.</w:t>
            </w:r>
          </w:p>
        </w:tc>
        <w:tc>
          <w:tcPr>
            <w:tcW w:w="1083" w:type="dxa"/>
          </w:tcPr>
          <w:p w14:paraId="026F8B00" w14:textId="43AF41D9"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IT /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 IM</w:t>
            </w:r>
          </w:p>
        </w:tc>
      </w:tr>
      <w:tr w:rsidR="00CC5653" w:rsidRPr="003C4ED1" w14:paraId="6349AD81" w14:textId="77777777" w:rsidTr="008246B3">
        <w:trPr>
          <w:gridAfter w:val="1"/>
          <w:wAfter w:w="10" w:type="dxa"/>
          <w:cantSplit/>
        </w:trPr>
        <w:tc>
          <w:tcPr>
            <w:tcW w:w="2520" w:type="dxa"/>
          </w:tcPr>
          <w:p w14:paraId="0D10E668"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Growth in data centres, green plants, advanced manufacturing and utility infrastructure provides an opportunity to embed safety through design and lifecycle engineering.</w:t>
            </w:r>
          </w:p>
          <w:p w14:paraId="482E1341" w14:textId="77777777" w:rsidR="00643246" w:rsidRPr="003C4ED1" w:rsidRDefault="00643246" w:rsidP="00643246">
            <w:pPr>
              <w:rPr>
                <w:rFonts w:asciiTheme="minorHAnsi" w:hAnsiTheme="minorHAnsi" w:cstheme="minorHAnsi"/>
                <w:sz w:val="24"/>
                <w:szCs w:val="24"/>
              </w:rPr>
            </w:pPr>
          </w:p>
        </w:tc>
        <w:tc>
          <w:tcPr>
            <w:tcW w:w="2725" w:type="dxa"/>
          </w:tcPr>
          <w:p w14:paraId="2AA5888F"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Early design decisions can eliminate work at height, reduce manual handling, improve maintainability and prevent exposure during testing or future servicing.</w:t>
            </w:r>
          </w:p>
        </w:tc>
        <w:tc>
          <w:tcPr>
            <w:tcW w:w="3402" w:type="dxa"/>
          </w:tcPr>
          <w:p w14:paraId="2B74AC58"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Design reviews shall include construction, commissioning, operation and maintenance hazards. The project team shall record design risk decisions and consult installers, maintainers, client representatives and competent persons before design release.</w:t>
            </w:r>
          </w:p>
        </w:tc>
        <w:tc>
          <w:tcPr>
            <w:tcW w:w="1083" w:type="dxa"/>
          </w:tcPr>
          <w:p w14:paraId="36047001" w14:textId="3FC7A92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ED / Design / </w:t>
            </w:r>
            <w:r w:rsidR="00112287">
              <w:rPr>
                <w:rFonts w:asciiTheme="minorHAnsi" w:hAnsiTheme="minorHAnsi" w:cstheme="minorHAnsi"/>
                <w:sz w:val="24"/>
                <w:szCs w:val="24"/>
              </w:rPr>
              <w:t>SHO</w:t>
            </w:r>
          </w:p>
        </w:tc>
      </w:tr>
      <w:tr w:rsidR="00CC5653" w:rsidRPr="003C4ED1" w14:paraId="2EF0DC84" w14:textId="77777777" w:rsidTr="008246B3">
        <w:trPr>
          <w:gridAfter w:val="1"/>
          <w:wAfter w:w="10" w:type="dxa"/>
          <w:cantSplit/>
        </w:trPr>
        <w:tc>
          <w:tcPr>
            <w:tcW w:w="2520" w:type="dxa"/>
          </w:tcPr>
          <w:p w14:paraId="002FBF18"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The Company can develop internal specialist capability in high-voltage safety, arc-flash assessment, lifting engineering, confined-space rescue, occupational hygiene and human factors.</w:t>
            </w:r>
          </w:p>
          <w:p w14:paraId="1C921138" w14:textId="77777777" w:rsidR="00643246" w:rsidRPr="003C4ED1" w:rsidRDefault="00643246" w:rsidP="00643246">
            <w:pPr>
              <w:rPr>
                <w:rFonts w:asciiTheme="minorHAnsi" w:hAnsiTheme="minorHAnsi" w:cstheme="minorHAnsi"/>
                <w:sz w:val="24"/>
                <w:szCs w:val="24"/>
              </w:rPr>
            </w:pPr>
          </w:p>
        </w:tc>
        <w:tc>
          <w:tcPr>
            <w:tcW w:w="2725" w:type="dxa"/>
          </w:tcPr>
          <w:p w14:paraId="2AAB65A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Greater internal capability can reduce reliance on external availability and improve the quality of risk decisions across projects.</w:t>
            </w:r>
          </w:p>
        </w:tc>
        <w:tc>
          <w:tcPr>
            <w:tcW w:w="3402" w:type="dxa"/>
          </w:tcPr>
          <w:p w14:paraId="0C670552" w14:textId="4A2E3500"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A multi-year competency plan shall identify critical technical and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disciplines, succession needs, training pathways and practical assessment. Competent specialists shall support peer reviews and internal learning.</w:t>
            </w:r>
          </w:p>
        </w:tc>
        <w:tc>
          <w:tcPr>
            <w:tcW w:w="1083" w:type="dxa"/>
          </w:tcPr>
          <w:p w14:paraId="6743CBDD" w14:textId="3F64E589"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HRM / ED / </w:t>
            </w:r>
            <w:r w:rsidR="00112287">
              <w:rPr>
                <w:rFonts w:asciiTheme="minorHAnsi" w:hAnsiTheme="minorHAnsi" w:cstheme="minorHAnsi"/>
                <w:sz w:val="24"/>
                <w:szCs w:val="24"/>
              </w:rPr>
              <w:t>SHO</w:t>
            </w:r>
          </w:p>
        </w:tc>
      </w:tr>
      <w:tr w:rsidR="00CC5653" w:rsidRPr="003C4ED1" w14:paraId="1C275C71" w14:textId="77777777" w:rsidTr="008246B3">
        <w:tc>
          <w:tcPr>
            <w:tcW w:w="9740" w:type="dxa"/>
            <w:gridSpan w:val="5"/>
            <w:shd w:val="clear" w:color="auto" w:fill="E8F0D8"/>
          </w:tcPr>
          <w:p w14:paraId="694877C3"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b/>
                <w:sz w:val="24"/>
                <w:szCs w:val="24"/>
              </w:rPr>
              <w:lastRenderedPageBreak/>
              <w:t>Threats Considerations</w:t>
            </w:r>
          </w:p>
        </w:tc>
      </w:tr>
      <w:tr w:rsidR="00CC5653" w:rsidRPr="003C4ED1" w14:paraId="7BC023A8" w14:textId="77777777" w:rsidTr="008246B3">
        <w:trPr>
          <w:gridAfter w:val="1"/>
          <w:wAfter w:w="10" w:type="dxa"/>
          <w:cantSplit/>
        </w:trPr>
        <w:tc>
          <w:tcPr>
            <w:tcW w:w="2520" w:type="dxa"/>
          </w:tcPr>
          <w:p w14:paraId="3F8BDC93" w14:textId="06249CAE"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Loss of experienced engineers, competent electrical persons, supervisors or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personnel can reduce organisational knowledge and increase workload on remaining staff.</w:t>
            </w:r>
          </w:p>
          <w:p w14:paraId="2D122468" w14:textId="77777777" w:rsidR="00643246" w:rsidRPr="003C4ED1" w:rsidRDefault="00643246" w:rsidP="00643246">
            <w:pPr>
              <w:rPr>
                <w:rFonts w:asciiTheme="minorHAnsi" w:hAnsiTheme="minorHAnsi" w:cstheme="minorHAnsi"/>
                <w:sz w:val="24"/>
                <w:szCs w:val="24"/>
              </w:rPr>
            </w:pPr>
          </w:p>
        </w:tc>
        <w:tc>
          <w:tcPr>
            <w:tcW w:w="2725" w:type="dxa"/>
          </w:tcPr>
          <w:p w14:paraId="2C0B7CF4"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Vacancies or rapid replacement can weaken review quality, statutory coverage, worker consultation and direct supervision of high-risk work.</w:t>
            </w:r>
          </w:p>
        </w:tc>
        <w:tc>
          <w:tcPr>
            <w:tcW w:w="3402" w:type="dxa"/>
          </w:tcPr>
          <w:p w14:paraId="4FC567F1"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Succession planning, competitive retention, knowledge transfer, deputy appointments and resource forecasting shall be maintained. Exit information and project lessons shall be captured before key personnel leave where practicable.</w:t>
            </w:r>
          </w:p>
        </w:tc>
        <w:tc>
          <w:tcPr>
            <w:tcW w:w="1083" w:type="dxa"/>
          </w:tcPr>
          <w:p w14:paraId="63317771" w14:textId="76A5A5F4"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MD / HRM / </w:t>
            </w:r>
            <w:r w:rsidR="00112287">
              <w:rPr>
                <w:rFonts w:asciiTheme="minorHAnsi" w:hAnsiTheme="minorHAnsi" w:cstheme="minorHAnsi"/>
                <w:sz w:val="24"/>
                <w:szCs w:val="24"/>
              </w:rPr>
              <w:t>SHO</w:t>
            </w:r>
          </w:p>
        </w:tc>
      </w:tr>
      <w:tr w:rsidR="00CC5653" w:rsidRPr="003C4ED1" w14:paraId="69EA6FD1" w14:textId="77777777" w:rsidTr="008246B3">
        <w:trPr>
          <w:gridAfter w:val="1"/>
          <w:wAfter w:w="10" w:type="dxa"/>
          <w:cantSplit/>
        </w:trPr>
        <w:tc>
          <w:tcPr>
            <w:tcW w:w="2520" w:type="dxa"/>
          </w:tcPr>
          <w:p w14:paraId="1524DCAB"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Weak reporting culture or fear of blame can cause hazards, near misses, fatigue and procedural deviations to remain hidden.</w:t>
            </w:r>
          </w:p>
        </w:tc>
        <w:tc>
          <w:tcPr>
            <w:tcW w:w="2725" w:type="dxa"/>
          </w:tcPr>
          <w:p w14:paraId="423250AE"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Management may receive an inaccurate picture of risk and corrective action may occur only after a serious incident.</w:t>
            </w:r>
          </w:p>
        </w:tc>
        <w:tc>
          <w:tcPr>
            <w:tcW w:w="3402" w:type="dxa"/>
          </w:tcPr>
          <w:p w14:paraId="6CE54665"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Leaders shall promote fair and learning-focused reporting, protect good-faith reporters, consult workers without retaliation and recognise proactive intervention. Investigations shall address system causes while preserving accountability for deliberate misconduct.</w:t>
            </w:r>
          </w:p>
          <w:p w14:paraId="1F4E04C5" w14:textId="30BBAD4C" w:rsidR="00643246" w:rsidRPr="003C4ED1" w:rsidRDefault="00643246" w:rsidP="00643246">
            <w:pPr>
              <w:rPr>
                <w:rFonts w:asciiTheme="minorHAnsi" w:hAnsiTheme="minorHAnsi" w:cstheme="minorHAnsi"/>
                <w:sz w:val="24"/>
                <w:szCs w:val="24"/>
              </w:rPr>
            </w:pPr>
          </w:p>
        </w:tc>
        <w:tc>
          <w:tcPr>
            <w:tcW w:w="1083" w:type="dxa"/>
          </w:tcPr>
          <w:p w14:paraId="0F19C014" w14:textId="6306E8E4"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 xml:space="preserve">MD / </w:t>
            </w:r>
            <w:r w:rsidR="00112287">
              <w:rPr>
                <w:rFonts w:asciiTheme="minorHAnsi" w:hAnsiTheme="minorHAnsi" w:cstheme="minorHAnsi"/>
                <w:sz w:val="24"/>
                <w:szCs w:val="24"/>
              </w:rPr>
              <w:t>SHO</w:t>
            </w:r>
            <w:r w:rsidRPr="003C4ED1">
              <w:rPr>
                <w:rFonts w:asciiTheme="minorHAnsi" w:hAnsiTheme="minorHAnsi" w:cstheme="minorHAnsi"/>
                <w:sz w:val="24"/>
                <w:szCs w:val="24"/>
              </w:rPr>
              <w:t xml:space="preserve"> / PM</w:t>
            </w:r>
          </w:p>
        </w:tc>
      </w:tr>
      <w:tr w:rsidR="00CC5653" w:rsidRPr="003C4ED1" w14:paraId="4B3B858D" w14:textId="77777777" w:rsidTr="008246B3">
        <w:trPr>
          <w:gridAfter w:val="1"/>
          <w:wAfter w:w="10" w:type="dxa"/>
          <w:cantSplit/>
        </w:trPr>
        <w:tc>
          <w:tcPr>
            <w:tcW w:w="2520" w:type="dxa"/>
          </w:tcPr>
          <w:p w14:paraId="61D099BD"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Inadequate control of drawings, settings, software, single-line diagrams, method statements or permit records can expose workers to incorrect system information.</w:t>
            </w:r>
          </w:p>
        </w:tc>
        <w:tc>
          <w:tcPr>
            <w:tcW w:w="2725" w:type="dxa"/>
          </w:tcPr>
          <w:p w14:paraId="6DBB31BA" w14:textId="77777777" w:rsidR="00CC5653"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Use of obsolete or unverified information can cause wrong isolation, incorrect protection settings, unplanned energisation or unsafe testing and maintenance.</w:t>
            </w:r>
          </w:p>
          <w:p w14:paraId="1AA6C852" w14:textId="77777777" w:rsidR="00643246" w:rsidRPr="003C4ED1" w:rsidRDefault="00643246" w:rsidP="00643246">
            <w:pPr>
              <w:rPr>
                <w:rFonts w:asciiTheme="minorHAnsi" w:hAnsiTheme="minorHAnsi" w:cstheme="minorHAnsi"/>
                <w:sz w:val="24"/>
                <w:szCs w:val="24"/>
              </w:rPr>
            </w:pPr>
          </w:p>
        </w:tc>
        <w:tc>
          <w:tcPr>
            <w:tcW w:w="3402" w:type="dxa"/>
          </w:tcPr>
          <w:p w14:paraId="0B5FB168"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Documented information shall be approved, revision controlled and available at the point of use. Safety-critical documents shall be independently verified where required and obsolete copies shall be removed or clearly prevented from unintended use.</w:t>
            </w:r>
          </w:p>
        </w:tc>
        <w:tc>
          <w:tcPr>
            <w:tcW w:w="1083" w:type="dxa"/>
          </w:tcPr>
          <w:p w14:paraId="71259E6C" w14:textId="77777777" w:rsidR="00CC5653" w:rsidRPr="003C4ED1" w:rsidRDefault="00000000" w:rsidP="00643246">
            <w:pPr>
              <w:rPr>
                <w:rFonts w:asciiTheme="minorHAnsi" w:hAnsiTheme="minorHAnsi" w:cstheme="minorHAnsi"/>
                <w:sz w:val="24"/>
                <w:szCs w:val="24"/>
              </w:rPr>
            </w:pPr>
            <w:r w:rsidRPr="003C4ED1">
              <w:rPr>
                <w:rFonts w:asciiTheme="minorHAnsi" w:hAnsiTheme="minorHAnsi" w:cstheme="minorHAnsi"/>
                <w:sz w:val="24"/>
                <w:szCs w:val="24"/>
              </w:rPr>
              <w:t>IM / EM / PM</w:t>
            </w:r>
          </w:p>
        </w:tc>
      </w:tr>
    </w:tbl>
    <w:p w14:paraId="5C91E4F5" w14:textId="77777777" w:rsidR="00643246" w:rsidRDefault="00643246" w:rsidP="00643246">
      <w:pPr>
        <w:ind w:left="284"/>
        <w:rPr>
          <w:rFonts w:asciiTheme="minorHAnsi" w:hAnsiTheme="minorHAnsi" w:cstheme="minorHAnsi"/>
          <w:sz w:val="24"/>
          <w:szCs w:val="24"/>
        </w:rPr>
      </w:pPr>
    </w:p>
    <w:tbl>
      <w:tblPr>
        <w:tblStyle w:val="TableGrid"/>
        <w:tblW w:w="9781" w:type="dxa"/>
        <w:tblInd w:w="279" w:type="dxa"/>
        <w:tblLook w:val="04A0" w:firstRow="1" w:lastRow="0" w:firstColumn="1" w:lastColumn="0" w:noHBand="0" w:noVBand="1"/>
      </w:tblPr>
      <w:tblGrid>
        <w:gridCol w:w="4868"/>
        <w:gridCol w:w="4913"/>
      </w:tblGrid>
      <w:tr w:rsidR="00643246" w14:paraId="6F1D3CD5" w14:textId="77777777" w:rsidTr="00A23AB5">
        <w:tc>
          <w:tcPr>
            <w:tcW w:w="4868" w:type="dxa"/>
          </w:tcPr>
          <w:p w14:paraId="6409818A"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Verified By:</w:t>
            </w:r>
          </w:p>
          <w:p w14:paraId="5BBB729B"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Name: Eng Choon Leong</w:t>
            </w:r>
          </w:p>
          <w:p w14:paraId="41289E98"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Appointment: Executive Director</w:t>
            </w:r>
          </w:p>
          <w:p w14:paraId="4E58F17A"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Date: 01 Sept 2026</w:t>
            </w:r>
          </w:p>
        </w:tc>
        <w:tc>
          <w:tcPr>
            <w:tcW w:w="4913" w:type="dxa"/>
          </w:tcPr>
          <w:p w14:paraId="4534C15E"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Approved By:</w:t>
            </w:r>
          </w:p>
          <w:p w14:paraId="13EB0A25"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Name: Amos Haw Chee Seng</w:t>
            </w:r>
          </w:p>
          <w:p w14:paraId="3AF0DC7F"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Appointment: Managing Director</w:t>
            </w:r>
          </w:p>
          <w:p w14:paraId="4547D0AC" w14:textId="77777777" w:rsidR="00643246" w:rsidRDefault="00643246" w:rsidP="007B0133">
            <w:pPr>
              <w:rPr>
                <w:rFonts w:asciiTheme="minorHAnsi" w:hAnsiTheme="minorHAnsi" w:cstheme="minorHAnsi"/>
                <w:sz w:val="24"/>
                <w:szCs w:val="24"/>
              </w:rPr>
            </w:pPr>
            <w:r>
              <w:rPr>
                <w:rFonts w:asciiTheme="minorHAnsi" w:hAnsiTheme="minorHAnsi" w:cstheme="minorHAnsi"/>
                <w:sz w:val="24"/>
                <w:szCs w:val="24"/>
              </w:rPr>
              <w:t>Date: 01 Sept 2026</w:t>
            </w:r>
          </w:p>
        </w:tc>
      </w:tr>
    </w:tbl>
    <w:p w14:paraId="4FB3BC3A" w14:textId="77777777" w:rsidR="00643246" w:rsidRDefault="00643246" w:rsidP="00643246">
      <w:pPr>
        <w:ind w:left="284"/>
        <w:rPr>
          <w:rFonts w:asciiTheme="minorHAnsi" w:hAnsiTheme="minorHAnsi" w:cstheme="minorHAnsi"/>
          <w:sz w:val="24"/>
          <w:szCs w:val="24"/>
        </w:rPr>
      </w:pPr>
    </w:p>
    <w:p w14:paraId="2C76C26C" w14:textId="77777777" w:rsidR="00D151EC" w:rsidRPr="003C4ED1" w:rsidRDefault="00D151EC" w:rsidP="00643246">
      <w:pPr>
        <w:ind w:left="284"/>
        <w:rPr>
          <w:rFonts w:asciiTheme="minorHAnsi" w:hAnsiTheme="minorHAnsi" w:cstheme="minorHAnsi"/>
          <w:sz w:val="24"/>
          <w:szCs w:val="24"/>
        </w:rPr>
      </w:pPr>
      <w:r w:rsidRPr="003C4ED1">
        <w:rPr>
          <w:rFonts w:asciiTheme="minorHAnsi" w:hAnsiTheme="minorHAnsi" w:cstheme="minorHAnsi"/>
          <w:sz w:val="24"/>
          <w:szCs w:val="24"/>
        </w:rPr>
        <w:t>End</w:t>
      </w:r>
    </w:p>
    <w:p w14:paraId="630D6BEB" w14:textId="77777777" w:rsidR="009F4E52" w:rsidRPr="003C4ED1" w:rsidRDefault="009F4E52" w:rsidP="00643246">
      <w:pPr>
        <w:ind w:left="284"/>
        <w:rPr>
          <w:rFonts w:asciiTheme="minorHAnsi" w:hAnsiTheme="minorHAnsi" w:cstheme="minorHAnsi"/>
          <w:sz w:val="24"/>
          <w:szCs w:val="24"/>
        </w:rPr>
      </w:pPr>
    </w:p>
    <w:sectPr w:rsidR="009F4E52" w:rsidRPr="003C4ED1" w:rsidSect="00543B6A">
      <w:headerReference w:type="default" r:id="rId7"/>
      <w:type w:val="continuous"/>
      <w:pgSz w:w="11900" w:h="16830"/>
      <w:pgMar w:top="640" w:right="560" w:bottom="280" w:left="132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10560" w14:textId="77777777" w:rsidR="006B111F" w:rsidRDefault="006B111F" w:rsidP="00A40AF5">
      <w:r>
        <w:separator/>
      </w:r>
    </w:p>
  </w:endnote>
  <w:endnote w:type="continuationSeparator" w:id="0">
    <w:p w14:paraId="0F495EC9" w14:textId="77777777" w:rsidR="006B111F" w:rsidRDefault="006B111F" w:rsidP="00A4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28517" w14:textId="77777777" w:rsidR="006B111F" w:rsidRDefault="006B111F" w:rsidP="00A40AF5">
      <w:r>
        <w:separator/>
      </w:r>
    </w:p>
  </w:footnote>
  <w:footnote w:type="continuationSeparator" w:id="0">
    <w:p w14:paraId="3CF000D7" w14:textId="77777777" w:rsidR="006B111F" w:rsidRDefault="006B111F" w:rsidP="00A4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69"/>
      <w:gridCol w:w="1276"/>
      <w:gridCol w:w="1276"/>
      <w:gridCol w:w="1559"/>
    </w:tblGrid>
    <w:tr w:rsidR="00996DC3" w:rsidRPr="003826F5" w14:paraId="569D770A" w14:textId="77777777" w:rsidTr="009E271B">
      <w:trPr>
        <w:trHeight w:val="454"/>
      </w:trPr>
      <w:tc>
        <w:tcPr>
          <w:tcW w:w="1701" w:type="dxa"/>
          <w:vMerge w:val="restart"/>
          <w:vAlign w:val="center"/>
        </w:tcPr>
        <w:p w14:paraId="562D119F" w14:textId="1EFDAA99" w:rsidR="00996DC3" w:rsidRPr="008D58A6" w:rsidRDefault="003C4ED1" w:rsidP="004A4FA3">
          <w:pPr>
            <w:pStyle w:val="Header"/>
            <w:jc w:val="center"/>
            <w:rPr>
              <w:sz w:val="12"/>
              <w:szCs w:val="12"/>
            </w:rPr>
          </w:pPr>
          <w:r>
            <w:rPr>
              <w:noProof/>
            </w:rPr>
            <w:drawing>
              <wp:inline distT="0" distB="0" distL="0" distR="0" wp14:anchorId="04867066" wp14:editId="3492B11A">
                <wp:extent cx="368300" cy="502920"/>
                <wp:effectExtent l="0" t="0" r="0" b="0"/>
                <wp:docPr id="2" name="Picture 1">
                  <a:extLst xmlns:a="http://schemas.openxmlformats.org/drawingml/2006/main">
                    <a:ext uri="{FF2B5EF4-FFF2-40B4-BE49-F238E27FC236}">
                      <a16:creationId xmlns:a16="http://schemas.microsoft.com/office/drawing/2014/main" id="{6CEFDB12-A6F9-4D40-A689-1A8758192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CEFDB12-A6F9-4D40-A689-1A8758192F1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69755" cy="504907"/>
                        </a:xfrm>
                        <a:prstGeom prst="rect">
                          <a:avLst/>
                        </a:prstGeom>
                      </pic:spPr>
                    </pic:pic>
                  </a:graphicData>
                </a:graphic>
              </wp:inline>
            </w:drawing>
          </w:r>
        </w:p>
      </w:tc>
      <w:tc>
        <w:tcPr>
          <w:tcW w:w="3969" w:type="dxa"/>
          <w:vAlign w:val="center"/>
        </w:tcPr>
        <w:p w14:paraId="1A09E757" w14:textId="77777777" w:rsidR="00996DC3" w:rsidRPr="004706AD" w:rsidRDefault="004A4FA3" w:rsidP="00A40AF5">
          <w:pPr>
            <w:pStyle w:val="Header"/>
            <w:jc w:val="center"/>
            <w:rPr>
              <w:sz w:val="16"/>
              <w:szCs w:val="16"/>
            </w:rPr>
          </w:pPr>
          <w:r>
            <w:rPr>
              <w:sz w:val="16"/>
              <w:szCs w:val="16"/>
            </w:rPr>
            <w:t>OHSMS MANUAL</w:t>
          </w:r>
        </w:p>
      </w:tc>
      <w:tc>
        <w:tcPr>
          <w:tcW w:w="1276" w:type="dxa"/>
          <w:vMerge w:val="restart"/>
          <w:vAlign w:val="center"/>
        </w:tcPr>
        <w:p w14:paraId="08FCC1A3" w14:textId="77777777" w:rsidR="00996DC3" w:rsidRPr="004706AD" w:rsidRDefault="00996DC3" w:rsidP="00A40AF5">
          <w:pPr>
            <w:pStyle w:val="Header"/>
            <w:jc w:val="center"/>
            <w:rPr>
              <w:sz w:val="16"/>
              <w:szCs w:val="16"/>
            </w:rPr>
          </w:pPr>
          <w:r w:rsidRPr="004706AD">
            <w:rPr>
              <w:sz w:val="16"/>
              <w:szCs w:val="16"/>
            </w:rPr>
            <w:t>Revision No.:</w:t>
          </w:r>
        </w:p>
        <w:p w14:paraId="639D3333" w14:textId="77777777" w:rsidR="00996DC3" w:rsidRPr="004706AD" w:rsidRDefault="00996DC3" w:rsidP="00A40AF5">
          <w:pPr>
            <w:pStyle w:val="Header"/>
            <w:jc w:val="center"/>
            <w:rPr>
              <w:sz w:val="16"/>
              <w:szCs w:val="16"/>
            </w:rPr>
          </w:pPr>
          <w:r>
            <w:rPr>
              <w:sz w:val="16"/>
              <w:szCs w:val="16"/>
            </w:rPr>
            <w:t>0</w:t>
          </w:r>
        </w:p>
      </w:tc>
      <w:tc>
        <w:tcPr>
          <w:tcW w:w="1276" w:type="dxa"/>
          <w:vMerge w:val="restart"/>
          <w:vAlign w:val="center"/>
        </w:tcPr>
        <w:p w14:paraId="20C21315" w14:textId="77777777" w:rsidR="00996DC3" w:rsidRPr="004706AD" w:rsidRDefault="00996DC3" w:rsidP="00A40AF5">
          <w:pPr>
            <w:pStyle w:val="Header"/>
            <w:jc w:val="center"/>
            <w:rPr>
              <w:sz w:val="16"/>
              <w:szCs w:val="16"/>
            </w:rPr>
          </w:pPr>
          <w:r w:rsidRPr="004706AD">
            <w:rPr>
              <w:sz w:val="16"/>
              <w:szCs w:val="16"/>
            </w:rPr>
            <w:t>Document</w:t>
          </w:r>
        </w:p>
        <w:p w14:paraId="5062C127" w14:textId="77777777" w:rsidR="00996DC3" w:rsidRPr="004706AD" w:rsidRDefault="00996DC3" w:rsidP="00A40AF5">
          <w:pPr>
            <w:pStyle w:val="Header"/>
            <w:jc w:val="center"/>
            <w:rPr>
              <w:sz w:val="16"/>
              <w:szCs w:val="16"/>
            </w:rPr>
          </w:pPr>
          <w:r w:rsidRPr="004706AD">
            <w:rPr>
              <w:sz w:val="16"/>
              <w:szCs w:val="16"/>
            </w:rPr>
            <w:t>Effective Date:</w:t>
          </w:r>
        </w:p>
        <w:p w14:paraId="7798DBAB" w14:textId="77777777" w:rsidR="00996DC3" w:rsidRPr="004706AD" w:rsidRDefault="00996DC3" w:rsidP="00A40AF5">
          <w:pPr>
            <w:pStyle w:val="Header"/>
            <w:jc w:val="center"/>
            <w:rPr>
              <w:sz w:val="16"/>
              <w:szCs w:val="16"/>
            </w:rPr>
          </w:pPr>
          <w:r w:rsidRPr="004706AD">
            <w:rPr>
              <w:sz w:val="16"/>
              <w:szCs w:val="16"/>
            </w:rPr>
            <w:t xml:space="preserve">01 </w:t>
          </w:r>
          <w:r w:rsidR="00BB161B">
            <w:rPr>
              <w:sz w:val="16"/>
              <w:szCs w:val="16"/>
            </w:rPr>
            <w:t>Sept</w:t>
          </w:r>
          <w:r w:rsidR="009207CA">
            <w:rPr>
              <w:sz w:val="16"/>
              <w:szCs w:val="16"/>
            </w:rPr>
            <w:t xml:space="preserve"> 202</w:t>
          </w:r>
          <w:r w:rsidR="00BB161B">
            <w:rPr>
              <w:sz w:val="16"/>
              <w:szCs w:val="16"/>
            </w:rPr>
            <w:t>6</w:t>
          </w:r>
        </w:p>
      </w:tc>
      <w:tc>
        <w:tcPr>
          <w:tcW w:w="1559" w:type="dxa"/>
          <w:vAlign w:val="center"/>
        </w:tcPr>
        <w:p w14:paraId="3E301B8B" w14:textId="77777777" w:rsidR="00996DC3" w:rsidRPr="004706AD" w:rsidRDefault="00996DC3" w:rsidP="00A40AF5">
          <w:pPr>
            <w:pStyle w:val="Header"/>
            <w:jc w:val="center"/>
            <w:rPr>
              <w:sz w:val="16"/>
              <w:szCs w:val="16"/>
            </w:rPr>
          </w:pPr>
          <w:r w:rsidRPr="004706AD">
            <w:rPr>
              <w:sz w:val="16"/>
              <w:szCs w:val="16"/>
            </w:rPr>
            <w:t xml:space="preserve">Page </w:t>
          </w:r>
          <w:r w:rsidRPr="004706AD">
            <w:rPr>
              <w:rStyle w:val="PageNumber"/>
              <w:sz w:val="16"/>
              <w:szCs w:val="16"/>
            </w:rPr>
            <w:fldChar w:fldCharType="begin"/>
          </w:r>
          <w:r w:rsidRPr="004706AD">
            <w:rPr>
              <w:rStyle w:val="PageNumber"/>
              <w:sz w:val="16"/>
              <w:szCs w:val="16"/>
            </w:rPr>
            <w:instrText xml:space="preserve"> PAGE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r w:rsidRPr="004706AD">
            <w:rPr>
              <w:rStyle w:val="PageNumber"/>
              <w:sz w:val="16"/>
              <w:szCs w:val="16"/>
            </w:rPr>
            <w:t xml:space="preserve"> of </w:t>
          </w:r>
          <w:r w:rsidRPr="004706AD">
            <w:rPr>
              <w:rStyle w:val="PageNumber"/>
              <w:sz w:val="16"/>
              <w:szCs w:val="16"/>
            </w:rPr>
            <w:fldChar w:fldCharType="begin"/>
          </w:r>
          <w:r w:rsidRPr="004706AD">
            <w:rPr>
              <w:rStyle w:val="PageNumber"/>
              <w:sz w:val="16"/>
              <w:szCs w:val="16"/>
            </w:rPr>
            <w:instrText xml:space="preserve"> NUMPAGES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p>
      </w:tc>
    </w:tr>
    <w:tr w:rsidR="00996DC3" w:rsidRPr="003826F5" w14:paraId="6507F928" w14:textId="77777777" w:rsidTr="009E271B">
      <w:trPr>
        <w:trHeight w:val="454"/>
      </w:trPr>
      <w:tc>
        <w:tcPr>
          <w:tcW w:w="1701" w:type="dxa"/>
          <w:vMerge/>
          <w:vAlign w:val="center"/>
        </w:tcPr>
        <w:p w14:paraId="71ECA8C6" w14:textId="77777777" w:rsidR="00996DC3" w:rsidRPr="008D58A6" w:rsidRDefault="00996DC3" w:rsidP="00A40AF5">
          <w:pPr>
            <w:pStyle w:val="Header"/>
            <w:rPr>
              <w:sz w:val="12"/>
              <w:szCs w:val="12"/>
            </w:rPr>
          </w:pPr>
        </w:p>
      </w:tc>
      <w:tc>
        <w:tcPr>
          <w:tcW w:w="3969" w:type="dxa"/>
          <w:vAlign w:val="center"/>
        </w:tcPr>
        <w:p w14:paraId="1F13B495" w14:textId="77777777" w:rsidR="00996DC3" w:rsidRPr="00B32258" w:rsidRDefault="00B32258" w:rsidP="00A40AF5">
          <w:pPr>
            <w:pStyle w:val="Header"/>
            <w:jc w:val="center"/>
            <w:rPr>
              <w:b/>
              <w:sz w:val="20"/>
              <w:szCs w:val="20"/>
              <w:lang w:val="en-MY"/>
            </w:rPr>
          </w:pPr>
          <w:r w:rsidRPr="00B32258">
            <w:rPr>
              <w:b/>
              <w:sz w:val="20"/>
              <w:szCs w:val="20"/>
              <w:lang w:val="en-MY"/>
            </w:rPr>
            <w:t xml:space="preserve">Annex </w:t>
          </w:r>
          <w:r w:rsidR="004A4FA3">
            <w:rPr>
              <w:b/>
              <w:sz w:val="20"/>
              <w:szCs w:val="20"/>
              <w:lang w:val="en-MY"/>
            </w:rPr>
            <w:t>B</w:t>
          </w:r>
          <w:r w:rsidRPr="00B32258">
            <w:rPr>
              <w:b/>
              <w:sz w:val="20"/>
              <w:szCs w:val="20"/>
              <w:lang w:val="en-MY"/>
            </w:rPr>
            <w:t xml:space="preserve"> – External &amp; Internal Issues A</w:t>
          </w:r>
          <w:r>
            <w:rPr>
              <w:b/>
              <w:sz w:val="20"/>
              <w:szCs w:val="20"/>
              <w:lang w:val="en-MY"/>
            </w:rPr>
            <w:t>ffecting The Company</w:t>
          </w:r>
        </w:p>
      </w:tc>
      <w:tc>
        <w:tcPr>
          <w:tcW w:w="1276" w:type="dxa"/>
          <w:vMerge/>
          <w:vAlign w:val="center"/>
        </w:tcPr>
        <w:p w14:paraId="52038D52" w14:textId="77777777" w:rsidR="00996DC3" w:rsidRPr="00B32258" w:rsidRDefault="00996DC3" w:rsidP="00A40AF5">
          <w:pPr>
            <w:pStyle w:val="Header"/>
            <w:jc w:val="center"/>
            <w:rPr>
              <w:sz w:val="16"/>
              <w:szCs w:val="16"/>
              <w:lang w:val="en-MY"/>
            </w:rPr>
          </w:pPr>
        </w:p>
      </w:tc>
      <w:tc>
        <w:tcPr>
          <w:tcW w:w="1276" w:type="dxa"/>
          <w:vMerge/>
        </w:tcPr>
        <w:p w14:paraId="6D5170C8" w14:textId="77777777" w:rsidR="00996DC3" w:rsidRPr="00B32258" w:rsidRDefault="00996DC3" w:rsidP="00A40AF5">
          <w:pPr>
            <w:pStyle w:val="Header"/>
            <w:jc w:val="center"/>
            <w:rPr>
              <w:sz w:val="16"/>
              <w:szCs w:val="16"/>
              <w:lang w:val="en-MY"/>
            </w:rPr>
          </w:pPr>
        </w:p>
      </w:tc>
      <w:tc>
        <w:tcPr>
          <w:tcW w:w="1559" w:type="dxa"/>
          <w:vAlign w:val="center"/>
        </w:tcPr>
        <w:p w14:paraId="68609B5F" w14:textId="77777777" w:rsidR="00996DC3" w:rsidRPr="004706AD" w:rsidRDefault="00996DC3" w:rsidP="00A40AF5">
          <w:pPr>
            <w:pStyle w:val="Header"/>
            <w:jc w:val="center"/>
            <w:rPr>
              <w:sz w:val="16"/>
              <w:szCs w:val="16"/>
            </w:rPr>
          </w:pPr>
          <w:r w:rsidRPr="004706AD">
            <w:rPr>
              <w:sz w:val="16"/>
              <w:szCs w:val="16"/>
            </w:rPr>
            <w:t>Document Ref:</w:t>
          </w:r>
        </w:p>
        <w:p w14:paraId="5D3568F2" w14:textId="77777777" w:rsidR="00996DC3" w:rsidRPr="004706AD" w:rsidRDefault="004A4FA3" w:rsidP="00A40AF5">
          <w:pPr>
            <w:pStyle w:val="Header"/>
            <w:jc w:val="center"/>
            <w:rPr>
              <w:sz w:val="16"/>
              <w:szCs w:val="16"/>
            </w:rPr>
          </w:pPr>
          <w:r>
            <w:rPr>
              <w:sz w:val="16"/>
              <w:szCs w:val="16"/>
            </w:rPr>
            <w:t>OHSMS-04B</w:t>
          </w:r>
        </w:p>
      </w:tc>
    </w:tr>
  </w:tbl>
  <w:p w14:paraId="7DEE6D49" w14:textId="77777777" w:rsidR="00A40AF5" w:rsidRDefault="00A40AF5" w:rsidP="00A40AF5">
    <w:pPr>
      <w:pStyle w:val="Header"/>
      <w:tabs>
        <w:tab w:val="clear" w:pos="9026"/>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B5B"/>
    <w:multiLevelType w:val="multilevel"/>
    <w:tmpl w:val="E6B4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FC0285"/>
    <w:multiLevelType w:val="multilevel"/>
    <w:tmpl w:val="A86A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2E3F5B"/>
    <w:multiLevelType w:val="multilevel"/>
    <w:tmpl w:val="7BC2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830A92"/>
    <w:multiLevelType w:val="hybridMultilevel"/>
    <w:tmpl w:val="0E5E90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AA650C"/>
    <w:multiLevelType w:val="hybridMultilevel"/>
    <w:tmpl w:val="0E5E90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694A30"/>
    <w:multiLevelType w:val="hybridMultilevel"/>
    <w:tmpl w:val="0E5E90E2"/>
    <w:lvl w:ilvl="0" w:tplc="2BD01C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694770317">
    <w:abstractNumId w:val="1"/>
  </w:num>
  <w:num w:numId="2" w16cid:durableId="1965041993">
    <w:abstractNumId w:val="5"/>
  </w:num>
  <w:num w:numId="3" w16cid:durableId="957834466">
    <w:abstractNumId w:val="3"/>
  </w:num>
  <w:num w:numId="4" w16cid:durableId="1290161545">
    <w:abstractNumId w:val="4"/>
  </w:num>
  <w:num w:numId="5" w16cid:durableId="1856460909">
    <w:abstractNumId w:val="0"/>
  </w:num>
  <w:num w:numId="6" w16cid:durableId="10110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8"/>
    <w:rsid w:val="00002433"/>
    <w:rsid w:val="000060E3"/>
    <w:rsid w:val="000145C1"/>
    <w:rsid w:val="00021DA3"/>
    <w:rsid w:val="000324CE"/>
    <w:rsid w:val="00060BFD"/>
    <w:rsid w:val="00095463"/>
    <w:rsid w:val="000A05F0"/>
    <w:rsid w:val="000B0026"/>
    <w:rsid w:val="000B439F"/>
    <w:rsid w:val="000C1FCD"/>
    <w:rsid w:val="000D33FC"/>
    <w:rsid w:val="000D751D"/>
    <w:rsid w:val="000E786C"/>
    <w:rsid w:val="000F016E"/>
    <w:rsid w:val="00101214"/>
    <w:rsid w:val="00112287"/>
    <w:rsid w:val="00115994"/>
    <w:rsid w:val="001173E1"/>
    <w:rsid w:val="001232AB"/>
    <w:rsid w:val="00140EE4"/>
    <w:rsid w:val="001605D0"/>
    <w:rsid w:val="00174430"/>
    <w:rsid w:val="0019195F"/>
    <w:rsid w:val="001C1659"/>
    <w:rsid w:val="001D649E"/>
    <w:rsid w:val="001E1402"/>
    <w:rsid w:val="001F7739"/>
    <w:rsid w:val="00203100"/>
    <w:rsid w:val="00210952"/>
    <w:rsid w:val="00242322"/>
    <w:rsid w:val="002469D5"/>
    <w:rsid w:val="00260A34"/>
    <w:rsid w:val="00272490"/>
    <w:rsid w:val="00287E96"/>
    <w:rsid w:val="002A604F"/>
    <w:rsid w:val="002B5EFE"/>
    <w:rsid w:val="002E6B6C"/>
    <w:rsid w:val="00304B72"/>
    <w:rsid w:val="00334A2F"/>
    <w:rsid w:val="0033561D"/>
    <w:rsid w:val="003404AE"/>
    <w:rsid w:val="00375825"/>
    <w:rsid w:val="00392C12"/>
    <w:rsid w:val="00393B0A"/>
    <w:rsid w:val="003966A3"/>
    <w:rsid w:val="003B64AC"/>
    <w:rsid w:val="003C4ED1"/>
    <w:rsid w:val="003C5D4C"/>
    <w:rsid w:val="003D685F"/>
    <w:rsid w:val="00450FCA"/>
    <w:rsid w:val="004621B4"/>
    <w:rsid w:val="0048085C"/>
    <w:rsid w:val="00491F65"/>
    <w:rsid w:val="004A4FA3"/>
    <w:rsid w:val="004B613C"/>
    <w:rsid w:val="004B745D"/>
    <w:rsid w:val="004C566C"/>
    <w:rsid w:val="004F0161"/>
    <w:rsid w:val="00511CFA"/>
    <w:rsid w:val="00526DE1"/>
    <w:rsid w:val="00543B6A"/>
    <w:rsid w:val="005608FE"/>
    <w:rsid w:val="0057006D"/>
    <w:rsid w:val="00581EB0"/>
    <w:rsid w:val="00584EDA"/>
    <w:rsid w:val="005C5E6E"/>
    <w:rsid w:val="005F2CE3"/>
    <w:rsid w:val="00615CF2"/>
    <w:rsid w:val="006177FE"/>
    <w:rsid w:val="00643246"/>
    <w:rsid w:val="00654C26"/>
    <w:rsid w:val="00662B19"/>
    <w:rsid w:val="00690042"/>
    <w:rsid w:val="00695534"/>
    <w:rsid w:val="006A29BE"/>
    <w:rsid w:val="006B0884"/>
    <w:rsid w:val="006B111F"/>
    <w:rsid w:val="006D12FF"/>
    <w:rsid w:val="006E26C4"/>
    <w:rsid w:val="00701633"/>
    <w:rsid w:val="00703EBA"/>
    <w:rsid w:val="0071590C"/>
    <w:rsid w:val="00725D4C"/>
    <w:rsid w:val="00726D14"/>
    <w:rsid w:val="00736455"/>
    <w:rsid w:val="007559E3"/>
    <w:rsid w:val="0077136D"/>
    <w:rsid w:val="00775A56"/>
    <w:rsid w:val="00777622"/>
    <w:rsid w:val="00794D3A"/>
    <w:rsid w:val="007968BF"/>
    <w:rsid w:val="007A4033"/>
    <w:rsid w:val="007B30C7"/>
    <w:rsid w:val="007C4EFB"/>
    <w:rsid w:val="00806EB6"/>
    <w:rsid w:val="008246B3"/>
    <w:rsid w:val="0082561F"/>
    <w:rsid w:val="00825655"/>
    <w:rsid w:val="008305DB"/>
    <w:rsid w:val="00832562"/>
    <w:rsid w:val="00883F58"/>
    <w:rsid w:val="008858C4"/>
    <w:rsid w:val="008A30A4"/>
    <w:rsid w:val="008A434B"/>
    <w:rsid w:val="008B32ED"/>
    <w:rsid w:val="008D69B5"/>
    <w:rsid w:val="008E6937"/>
    <w:rsid w:val="008F6BF3"/>
    <w:rsid w:val="009207CA"/>
    <w:rsid w:val="00953612"/>
    <w:rsid w:val="00956875"/>
    <w:rsid w:val="00973785"/>
    <w:rsid w:val="00996DC3"/>
    <w:rsid w:val="009D645F"/>
    <w:rsid w:val="009E271B"/>
    <w:rsid w:val="009F4E52"/>
    <w:rsid w:val="00A20D95"/>
    <w:rsid w:val="00A23AB5"/>
    <w:rsid w:val="00A2662A"/>
    <w:rsid w:val="00A34B68"/>
    <w:rsid w:val="00A40AF5"/>
    <w:rsid w:val="00A41282"/>
    <w:rsid w:val="00A51855"/>
    <w:rsid w:val="00A72CA8"/>
    <w:rsid w:val="00A83D0F"/>
    <w:rsid w:val="00A9152E"/>
    <w:rsid w:val="00AA168E"/>
    <w:rsid w:val="00AE7525"/>
    <w:rsid w:val="00AF36EB"/>
    <w:rsid w:val="00B22466"/>
    <w:rsid w:val="00B24670"/>
    <w:rsid w:val="00B27561"/>
    <w:rsid w:val="00B31498"/>
    <w:rsid w:val="00B32258"/>
    <w:rsid w:val="00B37BC9"/>
    <w:rsid w:val="00B454B3"/>
    <w:rsid w:val="00B76EDE"/>
    <w:rsid w:val="00B822EC"/>
    <w:rsid w:val="00BA2847"/>
    <w:rsid w:val="00BA7E83"/>
    <w:rsid w:val="00BB161B"/>
    <w:rsid w:val="00BB4252"/>
    <w:rsid w:val="00BE2A9C"/>
    <w:rsid w:val="00BE5C9F"/>
    <w:rsid w:val="00BE785B"/>
    <w:rsid w:val="00C10C49"/>
    <w:rsid w:val="00C111F2"/>
    <w:rsid w:val="00C2728F"/>
    <w:rsid w:val="00C35B17"/>
    <w:rsid w:val="00C42DA6"/>
    <w:rsid w:val="00C46F7A"/>
    <w:rsid w:val="00C47366"/>
    <w:rsid w:val="00C77CAB"/>
    <w:rsid w:val="00C828BD"/>
    <w:rsid w:val="00CA3D42"/>
    <w:rsid w:val="00CB1DFF"/>
    <w:rsid w:val="00CC5653"/>
    <w:rsid w:val="00CD33E0"/>
    <w:rsid w:val="00CD7ADB"/>
    <w:rsid w:val="00D01FAE"/>
    <w:rsid w:val="00D06783"/>
    <w:rsid w:val="00D151EC"/>
    <w:rsid w:val="00D229B9"/>
    <w:rsid w:val="00D67839"/>
    <w:rsid w:val="00D71E46"/>
    <w:rsid w:val="00D860B7"/>
    <w:rsid w:val="00DA3D0B"/>
    <w:rsid w:val="00DA5CCB"/>
    <w:rsid w:val="00DC26F9"/>
    <w:rsid w:val="00DF31D7"/>
    <w:rsid w:val="00DF44D4"/>
    <w:rsid w:val="00E026BD"/>
    <w:rsid w:val="00E6113A"/>
    <w:rsid w:val="00E71295"/>
    <w:rsid w:val="00E73578"/>
    <w:rsid w:val="00E90B82"/>
    <w:rsid w:val="00E92634"/>
    <w:rsid w:val="00E95E8D"/>
    <w:rsid w:val="00EA216B"/>
    <w:rsid w:val="00EB59EC"/>
    <w:rsid w:val="00ED2D34"/>
    <w:rsid w:val="00ED61E5"/>
    <w:rsid w:val="00EE2FD4"/>
    <w:rsid w:val="00EE733B"/>
    <w:rsid w:val="00F02142"/>
    <w:rsid w:val="00F059A3"/>
    <w:rsid w:val="00F137E2"/>
    <w:rsid w:val="00F223CE"/>
    <w:rsid w:val="00F26769"/>
    <w:rsid w:val="00F3345D"/>
    <w:rsid w:val="00F50096"/>
    <w:rsid w:val="00F51E23"/>
    <w:rsid w:val="00F527F8"/>
    <w:rsid w:val="00F77EAF"/>
    <w:rsid w:val="00F84608"/>
    <w:rsid w:val="00F9659B"/>
    <w:rsid w:val="00FB65FC"/>
    <w:rsid w:val="00FD30EB"/>
    <w:rsid w:val="00FE0120"/>
    <w:rsid w:val="00FF3B7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88852"/>
  <w15:docId w15:val="{7813C45F-0747-4FB6-B0FE-EE070D94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4"/>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0AF5"/>
    <w:pPr>
      <w:tabs>
        <w:tab w:val="center" w:pos="4513"/>
        <w:tab w:val="right" w:pos="9026"/>
      </w:tabs>
    </w:pPr>
  </w:style>
  <w:style w:type="character" w:customStyle="1" w:styleId="HeaderChar">
    <w:name w:val="Header Char"/>
    <w:basedOn w:val="DefaultParagraphFont"/>
    <w:link w:val="Header"/>
    <w:uiPriority w:val="99"/>
    <w:rsid w:val="00A40AF5"/>
    <w:rPr>
      <w:rFonts w:ascii="Arial" w:eastAsia="Arial" w:hAnsi="Arial" w:cs="Arial"/>
    </w:rPr>
  </w:style>
  <w:style w:type="paragraph" w:styleId="Footer">
    <w:name w:val="footer"/>
    <w:basedOn w:val="Normal"/>
    <w:link w:val="FooterChar"/>
    <w:uiPriority w:val="99"/>
    <w:unhideWhenUsed/>
    <w:rsid w:val="00A40AF5"/>
    <w:pPr>
      <w:tabs>
        <w:tab w:val="center" w:pos="4513"/>
        <w:tab w:val="right" w:pos="9026"/>
      </w:tabs>
    </w:pPr>
  </w:style>
  <w:style w:type="character" w:customStyle="1" w:styleId="FooterChar">
    <w:name w:val="Footer Char"/>
    <w:basedOn w:val="DefaultParagraphFont"/>
    <w:link w:val="Footer"/>
    <w:uiPriority w:val="99"/>
    <w:rsid w:val="00A40AF5"/>
    <w:rPr>
      <w:rFonts w:ascii="Arial" w:eastAsia="Arial" w:hAnsi="Arial" w:cs="Arial"/>
    </w:rPr>
  </w:style>
  <w:style w:type="character" w:styleId="PageNumber">
    <w:name w:val="page number"/>
    <w:basedOn w:val="DefaultParagraphFont"/>
    <w:rsid w:val="00A40AF5"/>
  </w:style>
  <w:style w:type="table" w:styleId="TableGrid">
    <w:name w:val="Table Grid"/>
    <w:basedOn w:val="TableNormal"/>
    <w:uiPriority w:val="59"/>
    <w:rsid w:val="001E140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655"/>
    <w:rPr>
      <w:color w:val="0000FF" w:themeColor="hyperlink"/>
      <w:u w:val="single"/>
    </w:rPr>
  </w:style>
  <w:style w:type="character" w:styleId="UnresolvedMention">
    <w:name w:val="Unresolved Mention"/>
    <w:basedOn w:val="DefaultParagraphFont"/>
    <w:uiPriority w:val="99"/>
    <w:semiHidden/>
    <w:unhideWhenUsed/>
    <w:rsid w:val="00825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7757">
      <w:bodyDiv w:val="1"/>
      <w:marLeft w:val="0"/>
      <w:marRight w:val="0"/>
      <w:marTop w:val="0"/>
      <w:marBottom w:val="0"/>
      <w:divBdr>
        <w:top w:val="none" w:sz="0" w:space="0" w:color="auto"/>
        <w:left w:val="none" w:sz="0" w:space="0" w:color="auto"/>
        <w:bottom w:val="none" w:sz="0" w:space="0" w:color="auto"/>
        <w:right w:val="none" w:sz="0" w:space="0" w:color="auto"/>
      </w:divBdr>
    </w:div>
    <w:div w:id="340081764">
      <w:bodyDiv w:val="1"/>
      <w:marLeft w:val="0"/>
      <w:marRight w:val="0"/>
      <w:marTop w:val="0"/>
      <w:marBottom w:val="0"/>
      <w:divBdr>
        <w:top w:val="none" w:sz="0" w:space="0" w:color="auto"/>
        <w:left w:val="none" w:sz="0" w:space="0" w:color="auto"/>
        <w:bottom w:val="none" w:sz="0" w:space="0" w:color="auto"/>
        <w:right w:val="none" w:sz="0" w:space="0" w:color="auto"/>
      </w:divBdr>
    </w:div>
    <w:div w:id="442383829">
      <w:bodyDiv w:val="1"/>
      <w:marLeft w:val="0"/>
      <w:marRight w:val="0"/>
      <w:marTop w:val="0"/>
      <w:marBottom w:val="0"/>
      <w:divBdr>
        <w:top w:val="none" w:sz="0" w:space="0" w:color="auto"/>
        <w:left w:val="none" w:sz="0" w:space="0" w:color="auto"/>
        <w:bottom w:val="none" w:sz="0" w:space="0" w:color="auto"/>
        <w:right w:val="none" w:sz="0" w:space="0" w:color="auto"/>
      </w:divBdr>
    </w:div>
    <w:div w:id="685861192">
      <w:bodyDiv w:val="1"/>
      <w:marLeft w:val="0"/>
      <w:marRight w:val="0"/>
      <w:marTop w:val="0"/>
      <w:marBottom w:val="0"/>
      <w:divBdr>
        <w:top w:val="none" w:sz="0" w:space="0" w:color="auto"/>
        <w:left w:val="none" w:sz="0" w:space="0" w:color="auto"/>
        <w:bottom w:val="none" w:sz="0" w:space="0" w:color="auto"/>
        <w:right w:val="none" w:sz="0" w:space="0" w:color="auto"/>
      </w:divBdr>
    </w:div>
    <w:div w:id="855122217">
      <w:bodyDiv w:val="1"/>
      <w:marLeft w:val="0"/>
      <w:marRight w:val="0"/>
      <w:marTop w:val="0"/>
      <w:marBottom w:val="0"/>
      <w:divBdr>
        <w:top w:val="none" w:sz="0" w:space="0" w:color="auto"/>
        <w:left w:val="none" w:sz="0" w:space="0" w:color="auto"/>
        <w:bottom w:val="none" w:sz="0" w:space="0" w:color="auto"/>
        <w:right w:val="none" w:sz="0" w:space="0" w:color="auto"/>
      </w:divBdr>
    </w:div>
    <w:div w:id="1056394075">
      <w:bodyDiv w:val="1"/>
      <w:marLeft w:val="0"/>
      <w:marRight w:val="0"/>
      <w:marTop w:val="0"/>
      <w:marBottom w:val="0"/>
      <w:divBdr>
        <w:top w:val="none" w:sz="0" w:space="0" w:color="auto"/>
        <w:left w:val="none" w:sz="0" w:space="0" w:color="auto"/>
        <w:bottom w:val="none" w:sz="0" w:space="0" w:color="auto"/>
        <w:right w:val="none" w:sz="0" w:space="0" w:color="auto"/>
      </w:divBdr>
    </w:div>
    <w:div w:id="1493066511">
      <w:bodyDiv w:val="1"/>
      <w:marLeft w:val="0"/>
      <w:marRight w:val="0"/>
      <w:marTop w:val="0"/>
      <w:marBottom w:val="0"/>
      <w:divBdr>
        <w:top w:val="none" w:sz="0" w:space="0" w:color="auto"/>
        <w:left w:val="none" w:sz="0" w:space="0" w:color="auto"/>
        <w:bottom w:val="none" w:sz="0" w:space="0" w:color="auto"/>
        <w:right w:val="none" w:sz="0" w:space="0" w:color="auto"/>
      </w:divBdr>
    </w:div>
    <w:div w:id="1591698922">
      <w:bodyDiv w:val="1"/>
      <w:marLeft w:val="0"/>
      <w:marRight w:val="0"/>
      <w:marTop w:val="0"/>
      <w:marBottom w:val="0"/>
      <w:divBdr>
        <w:top w:val="none" w:sz="0" w:space="0" w:color="auto"/>
        <w:left w:val="none" w:sz="0" w:space="0" w:color="auto"/>
        <w:bottom w:val="none" w:sz="0" w:space="0" w:color="auto"/>
        <w:right w:val="none" w:sz="0" w:space="0" w:color="auto"/>
      </w:divBdr>
    </w:div>
    <w:div w:id="1778941498">
      <w:bodyDiv w:val="1"/>
      <w:marLeft w:val="0"/>
      <w:marRight w:val="0"/>
      <w:marTop w:val="0"/>
      <w:marBottom w:val="0"/>
      <w:divBdr>
        <w:top w:val="none" w:sz="0" w:space="0" w:color="auto"/>
        <w:left w:val="none" w:sz="0" w:space="0" w:color="auto"/>
        <w:bottom w:val="none" w:sz="0" w:space="0" w:color="auto"/>
        <w:right w:val="none" w:sz="0" w:space="0" w:color="auto"/>
      </w:divBdr>
    </w:div>
    <w:div w:id="1875922209">
      <w:bodyDiv w:val="1"/>
      <w:marLeft w:val="0"/>
      <w:marRight w:val="0"/>
      <w:marTop w:val="0"/>
      <w:marBottom w:val="0"/>
      <w:divBdr>
        <w:top w:val="none" w:sz="0" w:space="0" w:color="auto"/>
        <w:left w:val="none" w:sz="0" w:space="0" w:color="auto"/>
        <w:bottom w:val="none" w:sz="0" w:space="0" w:color="auto"/>
        <w:right w:val="none" w:sz="0" w:space="0" w:color="auto"/>
      </w:divBdr>
    </w:div>
    <w:div w:id="1926188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3332</Words>
  <Characters>18993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ISO Flow Chart Template</vt:lpstr>
    </vt:vector>
  </TitlesOfParts>
  <Company/>
  <LinksUpToDate>false</LinksUpToDate>
  <CharactersWithSpaces>22281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Flow Chart Template</dc:title>
  <dc:subject>ISO9002</dc:subject>
  <dc:creator>Mohamed Sulaiman Suhaibuddeen</dc:creator>
  <cp:lastModifiedBy>steadytrack</cp:lastModifiedBy>
  <cp:revision>9</cp:revision>
  <cp:lastPrinted>2025-03-31T12:29:00Z</cp:lastPrinted>
  <dcterms:created xsi:type="dcterms:W3CDTF">2026-08-22T23:11:00Z</dcterms:created>
  <dcterms:modified xsi:type="dcterms:W3CDTF">2026-08-23T10:23:00Z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Visio® 2016</vt:lpwstr>
  </property>
  <property fmtid="{D5CDD505-2E9C-101B-9397-08002B2CF9AE}" pid="4" name="LastSaved">
    <vt:filetime>2024-11-11T00:00:00Z</vt:filetime>
  </property>
  <property fmtid="{D5CDD505-2E9C-101B-9397-08002B2CF9AE}" pid="5" name="Producer">
    <vt:lpwstr>Microsoft® Visio® 2016</vt:lpwstr>
  </property>
</Properties>
</file>